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2168F4" w14:paraId="555B21A3" w14:textId="77777777">
        <w:trPr>
          <w:cantSplit/>
        </w:trPr>
        <w:tc>
          <w:tcPr>
            <w:tcW w:w="9142" w:type="dxa"/>
            <w:gridSpan w:val="2"/>
            <w:tcBorders>
              <w:top w:val="nil"/>
              <w:left w:val="nil"/>
              <w:bottom w:val="nil"/>
              <w:right w:val="nil"/>
            </w:tcBorders>
          </w:tcPr>
          <w:p w14:paraId="40E96882" w14:textId="77777777" w:rsidR="00CB3578" w:rsidRPr="002168F4" w:rsidRDefault="00CB3578">
            <w:pPr>
              <w:pStyle w:val="Amendement"/>
              <w:jc w:val="right"/>
              <w:rPr>
                <w:rFonts w:ascii="Times New Roman" w:hAnsi="Times New Roman" w:cs="Times New Roman"/>
              </w:rPr>
            </w:pPr>
          </w:p>
        </w:tc>
      </w:tr>
      <w:tr w:rsidR="00CB3578" w:rsidRPr="002168F4" w14:paraId="39DC31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4263EF6"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6A4A278D" w14:textId="77777777" w:rsidR="00CB3578" w:rsidRPr="002168F4" w:rsidRDefault="00CB3578">
            <w:pPr>
              <w:tabs>
                <w:tab w:val="left" w:pos="-1440"/>
                <w:tab w:val="left" w:pos="-720"/>
              </w:tabs>
              <w:suppressAutoHyphens/>
              <w:rPr>
                <w:rFonts w:ascii="Times New Roman" w:hAnsi="Times New Roman"/>
                <w:b/>
                <w:bCs/>
              </w:rPr>
            </w:pPr>
          </w:p>
        </w:tc>
      </w:tr>
      <w:tr w:rsidR="002A727C" w:rsidRPr="002168F4" w14:paraId="031D78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F5C3216" w14:textId="2572D339" w:rsidR="002A727C" w:rsidRPr="002A727C" w:rsidRDefault="00965795" w:rsidP="00F13442">
            <w:pPr>
              <w:rPr>
                <w:rFonts w:ascii="Times New Roman" w:hAnsi="Times New Roman"/>
                <w:b/>
                <w:sz w:val="24"/>
              </w:rPr>
            </w:pPr>
            <w:r>
              <w:rPr>
                <w:rFonts w:ascii="Times New Roman" w:hAnsi="Times New Roman"/>
                <w:b/>
                <w:sz w:val="24"/>
              </w:rPr>
              <w:t>Studentenparlement</w:t>
            </w:r>
            <w:r w:rsidR="00EC0A03">
              <w:rPr>
                <w:rFonts w:ascii="Times New Roman" w:hAnsi="Times New Roman"/>
                <w:b/>
                <w:sz w:val="24"/>
              </w:rPr>
              <w:t xml:space="preserve"> 2022</w:t>
            </w:r>
            <w:r w:rsidR="00377FD9">
              <w:rPr>
                <w:rFonts w:ascii="Times New Roman" w:hAnsi="Times New Roman"/>
                <w:b/>
                <w:sz w:val="24"/>
              </w:rPr>
              <w:t>/</w:t>
            </w:r>
            <w:r w:rsidR="00EC0A03">
              <w:rPr>
                <w:rFonts w:ascii="Times New Roman" w:hAnsi="Times New Roman"/>
                <w:b/>
                <w:sz w:val="24"/>
              </w:rPr>
              <w:t>2023</w:t>
            </w:r>
          </w:p>
        </w:tc>
        <w:tc>
          <w:tcPr>
            <w:tcW w:w="6590" w:type="dxa"/>
            <w:tcBorders>
              <w:top w:val="nil"/>
              <w:left w:val="nil"/>
              <w:bottom w:val="nil"/>
              <w:right w:val="nil"/>
            </w:tcBorders>
          </w:tcPr>
          <w:p w14:paraId="1EFA4B0A" w14:textId="77777777" w:rsidR="002A727C" w:rsidRPr="002A727C" w:rsidRDefault="009D57FD" w:rsidP="008B1814">
            <w:pPr>
              <w:rPr>
                <w:rFonts w:ascii="Times New Roman" w:hAnsi="Times New Roman"/>
                <w:b/>
                <w:sz w:val="24"/>
              </w:rPr>
            </w:pPr>
            <w:r>
              <w:rPr>
                <w:rFonts w:ascii="Times New Roman" w:hAnsi="Times New Roman"/>
                <w:b/>
                <w:sz w:val="24"/>
              </w:rPr>
              <w:t>V</w:t>
            </w:r>
            <w:r w:rsidR="00F707DE" w:rsidRPr="00F707DE">
              <w:rPr>
                <w:rFonts w:ascii="Times New Roman" w:hAnsi="Times New Roman"/>
                <w:b/>
                <w:sz w:val="24"/>
              </w:rPr>
              <w:t xml:space="preserve">erklaring dat er grond bestaat een voorstel in overweging te nemen tot verandering in de Grondwet, strekkende tot </w:t>
            </w:r>
            <w:r w:rsidR="008B1814">
              <w:rPr>
                <w:rFonts w:ascii="Times New Roman" w:hAnsi="Times New Roman"/>
                <w:b/>
                <w:sz w:val="24"/>
              </w:rPr>
              <w:t>een toevoeging van een algemene aanvullende beperkingsclausule voor grondrechten</w:t>
            </w:r>
          </w:p>
        </w:tc>
      </w:tr>
      <w:tr w:rsidR="00CB3578" w:rsidRPr="002168F4" w14:paraId="55B86D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C9E031D"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74EA25C8" w14:textId="77777777" w:rsidR="00CB3578" w:rsidRPr="002168F4" w:rsidRDefault="00CB3578">
            <w:pPr>
              <w:pStyle w:val="Amendement"/>
              <w:rPr>
                <w:rFonts w:ascii="Times New Roman" w:hAnsi="Times New Roman" w:cs="Times New Roman"/>
              </w:rPr>
            </w:pPr>
          </w:p>
        </w:tc>
      </w:tr>
      <w:tr w:rsidR="00CB3578" w:rsidRPr="002168F4" w14:paraId="37C13B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F6007A2"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42119656" w14:textId="77777777" w:rsidR="00CB3578" w:rsidRPr="002168F4" w:rsidRDefault="00CB3578">
            <w:pPr>
              <w:pStyle w:val="Amendement"/>
              <w:rPr>
                <w:rFonts w:ascii="Times New Roman" w:hAnsi="Times New Roman" w:cs="Times New Roman"/>
              </w:rPr>
            </w:pPr>
          </w:p>
        </w:tc>
      </w:tr>
      <w:tr w:rsidR="00CB3578" w:rsidRPr="002168F4" w14:paraId="3265E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0B212503" w14:textId="77777777" w:rsidR="00CB3578" w:rsidRPr="002168F4" w:rsidRDefault="00CB3578">
            <w:pPr>
              <w:pStyle w:val="Amendement"/>
              <w:rPr>
                <w:rFonts w:ascii="Times New Roman" w:hAnsi="Times New Roman" w:cs="Times New Roman"/>
              </w:rPr>
            </w:pPr>
            <w:r w:rsidRPr="002168F4">
              <w:rPr>
                <w:rFonts w:ascii="Times New Roman" w:hAnsi="Times New Roman" w:cs="Times New Roman"/>
              </w:rPr>
              <w:t xml:space="preserve">Nr. </w:t>
            </w:r>
            <w:r w:rsidR="00B37ED6">
              <w:rPr>
                <w:rFonts w:ascii="Times New Roman" w:hAnsi="Times New Roman" w:cs="Times New Roman"/>
              </w:rPr>
              <w:t>3</w:t>
            </w:r>
          </w:p>
        </w:tc>
        <w:tc>
          <w:tcPr>
            <w:tcW w:w="6590" w:type="dxa"/>
            <w:tcBorders>
              <w:top w:val="nil"/>
              <w:left w:val="nil"/>
              <w:bottom w:val="nil"/>
              <w:right w:val="nil"/>
            </w:tcBorders>
          </w:tcPr>
          <w:p w14:paraId="11959446" w14:textId="77777777" w:rsidR="00CB3578" w:rsidRPr="002168F4" w:rsidRDefault="00B37ED6">
            <w:pPr>
              <w:pStyle w:val="Amendement"/>
              <w:rPr>
                <w:rFonts w:ascii="Times New Roman" w:hAnsi="Times New Roman" w:cs="Times New Roman"/>
              </w:rPr>
            </w:pPr>
            <w:r>
              <w:rPr>
                <w:rFonts w:ascii="Times New Roman" w:hAnsi="Times New Roman" w:cs="Times New Roman"/>
              </w:rPr>
              <w:t>MEMORIE VAN TOELICHTING</w:t>
            </w:r>
          </w:p>
        </w:tc>
      </w:tr>
      <w:tr w:rsidR="00CB3578" w:rsidRPr="002168F4" w14:paraId="5A6B5E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0B436789" w14:textId="77777777" w:rsidR="00CB3578" w:rsidRPr="002168F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33E7B083" w14:textId="77777777" w:rsidR="00CB3578" w:rsidRPr="002168F4" w:rsidRDefault="00CB3578">
            <w:pPr>
              <w:pStyle w:val="Amendement"/>
              <w:rPr>
                <w:rFonts w:ascii="Times New Roman" w:hAnsi="Times New Roman" w:cs="Times New Roman"/>
              </w:rPr>
            </w:pPr>
          </w:p>
        </w:tc>
      </w:tr>
    </w:tbl>
    <w:p w14:paraId="6422425C" w14:textId="77777777" w:rsidR="00E455A5" w:rsidRDefault="00E455A5" w:rsidP="00EC0A03">
      <w:pPr>
        <w:rPr>
          <w:rFonts w:ascii="Times New Roman" w:hAnsi="Times New Roman"/>
          <w:b/>
          <w:noProof/>
          <w:sz w:val="24"/>
        </w:rPr>
      </w:pPr>
    </w:p>
    <w:p w14:paraId="11589E9D" w14:textId="77777777" w:rsidR="000B5CF0" w:rsidRDefault="000B5CF0" w:rsidP="00EC0A03">
      <w:pPr>
        <w:rPr>
          <w:rFonts w:ascii="Times New Roman" w:hAnsi="Times New Roman"/>
          <w:b/>
          <w:noProof/>
          <w:sz w:val="24"/>
        </w:rPr>
      </w:pPr>
      <w:r>
        <w:rPr>
          <w:rFonts w:ascii="Times New Roman" w:hAnsi="Times New Roman"/>
          <w:b/>
          <w:noProof/>
          <w:sz w:val="24"/>
        </w:rPr>
        <w:t>I. ALGEMEEN</w:t>
      </w:r>
    </w:p>
    <w:p w14:paraId="0FC9A2B0" w14:textId="77777777" w:rsidR="000B5CF0" w:rsidRDefault="000B5CF0" w:rsidP="00EC0A03">
      <w:pPr>
        <w:rPr>
          <w:rFonts w:ascii="Times New Roman" w:hAnsi="Times New Roman"/>
          <w:b/>
          <w:noProof/>
          <w:sz w:val="24"/>
        </w:rPr>
      </w:pPr>
    </w:p>
    <w:p w14:paraId="4572EF83" w14:textId="77777777" w:rsidR="00B37ED6" w:rsidRPr="00B37ED6" w:rsidRDefault="000B5CF0" w:rsidP="00EC0A03">
      <w:pPr>
        <w:rPr>
          <w:rFonts w:ascii="Times New Roman" w:hAnsi="Times New Roman"/>
          <w:b/>
          <w:noProof/>
          <w:sz w:val="24"/>
        </w:rPr>
      </w:pPr>
      <w:r>
        <w:rPr>
          <w:rFonts w:ascii="Times New Roman" w:hAnsi="Times New Roman"/>
          <w:b/>
          <w:noProof/>
          <w:sz w:val="24"/>
        </w:rPr>
        <w:t xml:space="preserve">1. </w:t>
      </w:r>
      <w:r w:rsidR="00B37ED6" w:rsidRPr="00B37ED6">
        <w:rPr>
          <w:rFonts w:ascii="Times New Roman" w:hAnsi="Times New Roman"/>
          <w:b/>
          <w:noProof/>
          <w:sz w:val="24"/>
        </w:rPr>
        <w:t>Inleiding</w:t>
      </w:r>
    </w:p>
    <w:p w14:paraId="655B498E" w14:textId="77777777" w:rsidR="00B37ED6" w:rsidRPr="00B37ED6" w:rsidRDefault="00B37ED6" w:rsidP="00B37ED6">
      <w:pPr>
        <w:ind w:left="360"/>
        <w:rPr>
          <w:rFonts w:ascii="Times New Roman" w:hAnsi="Times New Roman"/>
          <w:noProof/>
          <w:sz w:val="24"/>
        </w:rPr>
      </w:pPr>
    </w:p>
    <w:p w14:paraId="7A21CC09" w14:textId="67B4A27E" w:rsidR="00B37ED6" w:rsidRPr="00B37ED6" w:rsidRDefault="00B37ED6" w:rsidP="00B37ED6">
      <w:pPr>
        <w:rPr>
          <w:rFonts w:ascii="Times New Roman" w:hAnsi="Times New Roman"/>
          <w:noProof/>
          <w:sz w:val="24"/>
        </w:rPr>
      </w:pPr>
      <w:r w:rsidRPr="00B37ED6">
        <w:rPr>
          <w:rFonts w:ascii="Times New Roman" w:hAnsi="Times New Roman"/>
          <w:noProof/>
          <w:sz w:val="24"/>
        </w:rPr>
        <w:t>Dit wetsvoorstel heeft tot doel de Grondwet te versterken door een algemene aanvullende beperkingsclausule op te nemen. Het wetsvoorstel volgt in grote lijnen een voorstel dat de Staatscommissie Grondwet in 2010 heeft gedaan. Dit voorstel wordt nu overgenomen</w:t>
      </w:r>
      <w:r w:rsidR="00EC0A03">
        <w:rPr>
          <w:rFonts w:ascii="Times New Roman" w:hAnsi="Times New Roman"/>
          <w:noProof/>
          <w:sz w:val="24"/>
        </w:rPr>
        <w:t>. Dit sluit aan bij de wens om de Grondwet bij de tijd te brengen en meer toekomstbestending te maken. Vanuit die wens is in de afgelopen periode ook een aantal andere grondwetswijzigingen voorbereid en in werking getreden</w:t>
      </w:r>
      <w:r w:rsidRPr="00B37ED6">
        <w:rPr>
          <w:rFonts w:ascii="Times New Roman" w:hAnsi="Times New Roman"/>
          <w:noProof/>
          <w:sz w:val="24"/>
        </w:rPr>
        <w:t>.</w:t>
      </w:r>
      <w:r w:rsidR="00EC0A03">
        <w:rPr>
          <w:rStyle w:val="FootnoteReference"/>
          <w:rFonts w:ascii="Times New Roman" w:hAnsi="Times New Roman"/>
          <w:noProof/>
          <w:sz w:val="24"/>
        </w:rPr>
        <w:footnoteReference w:id="1"/>
      </w:r>
      <w:r w:rsidRPr="00B37ED6">
        <w:rPr>
          <w:rFonts w:ascii="Times New Roman" w:hAnsi="Times New Roman"/>
          <w:noProof/>
          <w:sz w:val="24"/>
        </w:rPr>
        <w:t xml:space="preserve"> </w:t>
      </w:r>
      <w:r w:rsidR="00EC0A03">
        <w:rPr>
          <w:rFonts w:ascii="Times New Roman" w:hAnsi="Times New Roman"/>
          <w:noProof/>
          <w:sz w:val="24"/>
        </w:rPr>
        <w:t>Een tweede belangrijke reden om dit voorstel te doen is dat een algemene aanvullende beperkingsclausule noodzakelijk is</w:t>
      </w:r>
      <w:r w:rsidRPr="00B37ED6">
        <w:rPr>
          <w:rFonts w:ascii="Times New Roman" w:hAnsi="Times New Roman"/>
          <w:noProof/>
          <w:sz w:val="24"/>
        </w:rPr>
        <w:t xml:space="preserve"> </w:t>
      </w:r>
      <w:r w:rsidR="00EC0A03">
        <w:rPr>
          <w:rFonts w:ascii="Times New Roman" w:hAnsi="Times New Roman"/>
          <w:noProof/>
          <w:sz w:val="24"/>
        </w:rPr>
        <w:t xml:space="preserve">om zinvolle toetsing door </w:t>
      </w:r>
      <w:r w:rsidRPr="00B37ED6">
        <w:rPr>
          <w:rFonts w:ascii="Times New Roman" w:hAnsi="Times New Roman"/>
          <w:noProof/>
          <w:sz w:val="24"/>
        </w:rPr>
        <w:t xml:space="preserve">de rechter </w:t>
      </w:r>
      <w:r w:rsidR="00EC0A03">
        <w:rPr>
          <w:rFonts w:ascii="Times New Roman" w:hAnsi="Times New Roman"/>
          <w:noProof/>
          <w:sz w:val="24"/>
        </w:rPr>
        <w:t>van</w:t>
      </w:r>
      <w:r w:rsidR="00EC0A03" w:rsidRPr="00B37ED6">
        <w:rPr>
          <w:rFonts w:ascii="Times New Roman" w:hAnsi="Times New Roman"/>
          <w:noProof/>
          <w:sz w:val="24"/>
        </w:rPr>
        <w:t xml:space="preserve"> </w:t>
      </w:r>
      <w:r w:rsidRPr="00B37ED6">
        <w:rPr>
          <w:rFonts w:ascii="Times New Roman" w:hAnsi="Times New Roman"/>
          <w:noProof/>
          <w:sz w:val="24"/>
        </w:rPr>
        <w:t>wetten in formele zin aan de Grondwet</w:t>
      </w:r>
      <w:r w:rsidR="00EC0A03">
        <w:rPr>
          <w:rFonts w:ascii="Times New Roman" w:hAnsi="Times New Roman"/>
          <w:noProof/>
          <w:sz w:val="24"/>
        </w:rPr>
        <w:t xml:space="preserve"> mogelijk te maken</w:t>
      </w:r>
      <w:r w:rsidRPr="00B37ED6">
        <w:rPr>
          <w:rFonts w:ascii="Times New Roman" w:hAnsi="Times New Roman"/>
          <w:noProof/>
          <w:sz w:val="24"/>
        </w:rPr>
        <w:t>.</w:t>
      </w:r>
      <w:r w:rsidRPr="00B37ED6">
        <w:rPr>
          <w:rStyle w:val="FootnoteReference"/>
          <w:rFonts w:ascii="Times New Roman" w:hAnsi="Times New Roman"/>
          <w:noProof/>
          <w:sz w:val="24"/>
        </w:rPr>
        <w:footnoteReference w:id="2"/>
      </w:r>
      <w:r w:rsidRPr="00B37ED6">
        <w:rPr>
          <w:rFonts w:ascii="Times New Roman" w:hAnsi="Times New Roman"/>
          <w:noProof/>
          <w:sz w:val="24"/>
        </w:rPr>
        <w:t xml:space="preserve">  </w:t>
      </w:r>
    </w:p>
    <w:p w14:paraId="7D9D7458" w14:textId="77777777" w:rsidR="00B37ED6" w:rsidRPr="00B37ED6" w:rsidRDefault="00B37ED6" w:rsidP="00B37ED6">
      <w:pPr>
        <w:rPr>
          <w:rFonts w:ascii="Times New Roman" w:hAnsi="Times New Roman"/>
          <w:noProof/>
          <w:sz w:val="24"/>
        </w:rPr>
      </w:pPr>
    </w:p>
    <w:p w14:paraId="1C855692" w14:textId="17CAB9BB" w:rsidR="00B37ED6" w:rsidRPr="00B37ED6" w:rsidRDefault="00B37ED6" w:rsidP="00B37ED6">
      <w:pPr>
        <w:rPr>
          <w:rFonts w:ascii="Times New Roman" w:hAnsi="Times New Roman"/>
          <w:noProof/>
          <w:sz w:val="24"/>
        </w:rPr>
      </w:pPr>
      <w:r w:rsidRPr="00B37ED6">
        <w:rPr>
          <w:rFonts w:ascii="Times New Roman" w:hAnsi="Times New Roman"/>
          <w:noProof/>
          <w:sz w:val="24"/>
        </w:rPr>
        <w:t>Volgens de huidige grondwettelijke beperkingssystematiek kan een grondwettelijk grondrecht worden beperkt door de wetgever zelf of door een ander ambt krachtens een daartoe gedelegeerde bevoegdheid, afhankelijk van het concrete competentievoorschrift.</w:t>
      </w:r>
      <w:r w:rsidRPr="00B37ED6">
        <w:rPr>
          <w:rFonts w:ascii="Times New Roman" w:hAnsi="Times New Roman"/>
          <w:noProof/>
          <w:sz w:val="24"/>
          <w:vertAlign w:val="superscript"/>
        </w:rPr>
        <w:footnoteReference w:id="3"/>
      </w:r>
      <w:r w:rsidRPr="00B37ED6">
        <w:rPr>
          <w:rFonts w:ascii="Times New Roman" w:hAnsi="Times New Roman"/>
          <w:noProof/>
          <w:sz w:val="24"/>
        </w:rPr>
        <w:t xml:space="preserve"> Voor enkele grondrechten, zoals de in artikel </w:t>
      </w:r>
      <w:r w:rsidR="000B5CF0">
        <w:rPr>
          <w:rFonts w:ascii="Times New Roman" w:hAnsi="Times New Roman"/>
          <w:noProof/>
          <w:sz w:val="24"/>
        </w:rPr>
        <w:t>6</w:t>
      </w:r>
      <w:r w:rsidRPr="00B37ED6">
        <w:rPr>
          <w:rFonts w:ascii="Times New Roman" w:hAnsi="Times New Roman"/>
          <w:noProof/>
          <w:sz w:val="24"/>
        </w:rPr>
        <w:t xml:space="preserve"> Grondwet vastgelegde godsdienstvrijheid, is daarnaast vereist dat de beperkingen specifieke doeleinden dienen (doelcriteria) of, zoals bij het in artikel 12 Grondwet opgenomen huisrecht, dat zij geschieden met inachtneming van procedurele voorschriften.</w:t>
      </w:r>
      <w:r w:rsidRPr="00B37ED6">
        <w:rPr>
          <w:rFonts w:ascii="Times New Roman" w:hAnsi="Times New Roman"/>
          <w:noProof/>
          <w:sz w:val="24"/>
          <w:vertAlign w:val="superscript"/>
        </w:rPr>
        <w:footnoteReference w:id="4"/>
      </w:r>
      <w:r w:rsidRPr="00B37ED6">
        <w:rPr>
          <w:rFonts w:ascii="Times New Roman" w:hAnsi="Times New Roman"/>
          <w:noProof/>
          <w:sz w:val="24"/>
        </w:rPr>
        <w:t xml:space="preserve"> Zoals de Staatscommissie Grondwet in 2010 heeft toegelicht, is er grote waarde gelegen in deze beperkingssystematiek.</w:t>
      </w:r>
      <w:r w:rsidRPr="00B37ED6">
        <w:rPr>
          <w:rFonts w:ascii="Times New Roman" w:hAnsi="Times New Roman"/>
          <w:noProof/>
          <w:sz w:val="24"/>
          <w:vertAlign w:val="superscript"/>
        </w:rPr>
        <w:footnoteReference w:id="5"/>
      </w:r>
      <w:r w:rsidRPr="00B37ED6">
        <w:rPr>
          <w:rFonts w:ascii="Times New Roman" w:hAnsi="Times New Roman"/>
          <w:noProof/>
          <w:sz w:val="24"/>
        </w:rPr>
        <w:t xml:space="preserve"> De meerwaarde is vooral gelegen in de </w:t>
      </w:r>
      <w:r w:rsidR="002C0393">
        <w:rPr>
          <w:rFonts w:ascii="Times New Roman" w:hAnsi="Times New Roman"/>
          <w:noProof/>
          <w:sz w:val="24"/>
        </w:rPr>
        <w:t>centrale plaats</w:t>
      </w:r>
      <w:r w:rsidR="002C0393" w:rsidRPr="00B37ED6">
        <w:rPr>
          <w:rFonts w:ascii="Times New Roman" w:hAnsi="Times New Roman"/>
          <w:noProof/>
          <w:sz w:val="24"/>
        </w:rPr>
        <w:t xml:space="preserve"> </w:t>
      </w:r>
      <w:r w:rsidRPr="00B37ED6">
        <w:rPr>
          <w:rFonts w:ascii="Times New Roman" w:hAnsi="Times New Roman"/>
          <w:noProof/>
          <w:sz w:val="24"/>
        </w:rPr>
        <w:t>van de democratisch gelegitimeerde wetgever</w:t>
      </w:r>
      <w:r w:rsidR="002C0393">
        <w:rPr>
          <w:rFonts w:ascii="Times New Roman" w:hAnsi="Times New Roman"/>
          <w:noProof/>
          <w:sz w:val="24"/>
        </w:rPr>
        <w:t>,</w:t>
      </w:r>
      <w:r w:rsidRPr="00B37ED6">
        <w:rPr>
          <w:rFonts w:ascii="Times New Roman" w:hAnsi="Times New Roman"/>
          <w:noProof/>
          <w:sz w:val="24"/>
        </w:rPr>
        <w:t xml:space="preserve"> die naast gelegitimeerd ook voldoende toegerust is om complexe afwegingen te maken tussen botsende grondrechten en belangen. Deze meerwaarde moet worden behouden. </w:t>
      </w:r>
    </w:p>
    <w:p w14:paraId="4256E998" w14:textId="77777777" w:rsidR="00B37ED6" w:rsidRPr="00B37ED6" w:rsidRDefault="00B37ED6" w:rsidP="00B37ED6">
      <w:pPr>
        <w:rPr>
          <w:rFonts w:ascii="Times New Roman" w:hAnsi="Times New Roman"/>
          <w:noProof/>
          <w:sz w:val="24"/>
        </w:rPr>
      </w:pPr>
    </w:p>
    <w:p w14:paraId="1B4C3BCC"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lastRenderedPageBreak/>
        <w:t>Toch is er reden om de Grondwet op het punt van de beperkingssystematiek uit te breiden met enkele aanvullende voorschriften. De achtergronden en beweegredenen voor het toevoegen van de bepaling worden hierna verder toegelicht. Dit gebeurt allereerst door in paragraaf 2 een korte geschiedenis te schetsen van de huidige beperkingssystematiek. Vervolgens worden in paragraaf 3 de tekortkomingen van de huidige systematiek in beeld gebracht. Doel en noodzaak voor het onderhavige voorstel worden uiteengezet in paragraaf 4. De keuze voor de voorgestelde bepaling wordt nader onderbouwd door de ervaringen met de beperkingssystematiek zoals die geldt in het Europese recht, waarop in paragraaf 5 een toelichting wordt gegeven. In paragraaf 6 wordt afzonderlijk aandacht besteed aan de voorgestelde kernrechtbepaling. Paragraaf 7 omvat ten slotte een samenvatting van de belangrijkste overwegingen om de voorgestelde algemene beperkingsclausule in de Grondwet op te nemen.</w:t>
      </w:r>
    </w:p>
    <w:p w14:paraId="569EB0D6" w14:textId="77777777" w:rsidR="00B37ED6" w:rsidRPr="00B37ED6" w:rsidRDefault="00B37ED6" w:rsidP="00B37ED6">
      <w:pPr>
        <w:rPr>
          <w:rFonts w:ascii="Times New Roman" w:hAnsi="Times New Roman"/>
          <w:noProof/>
          <w:sz w:val="24"/>
        </w:rPr>
      </w:pPr>
    </w:p>
    <w:p w14:paraId="20F2F6A2" w14:textId="77777777" w:rsidR="00B37ED6" w:rsidRPr="00B37ED6" w:rsidRDefault="00B37ED6" w:rsidP="00B37ED6">
      <w:pPr>
        <w:rPr>
          <w:rFonts w:ascii="Times New Roman" w:hAnsi="Times New Roman"/>
          <w:b/>
          <w:bCs/>
          <w:noProof/>
          <w:sz w:val="24"/>
        </w:rPr>
      </w:pPr>
      <w:r w:rsidRPr="00B37ED6">
        <w:rPr>
          <w:rFonts w:ascii="Times New Roman" w:hAnsi="Times New Roman"/>
          <w:b/>
          <w:bCs/>
          <w:noProof/>
          <w:sz w:val="24"/>
        </w:rPr>
        <w:t>2. Ontwikkeling van de huidige grondrechtenbeperkingssystematiek</w:t>
      </w:r>
    </w:p>
    <w:p w14:paraId="23EC661E" w14:textId="77777777" w:rsidR="00B37ED6" w:rsidRPr="00B37ED6" w:rsidRDefault="00B37ED6" w:rsidP="00B37ED6">
      <w:pPr>
        <w:rPr>
          <w:rFonts w:ascii="Times New Roman" w:hAnsi="Times New Roman"/>
          <w:noProof/>
          <w:sz w:val="24"/>
        </w:rPr>
      </w:pPr>
    </w:p>
    <w:p w14:paraId="3F164864"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Reeds in de voorgangers van de huidge Grondwet kwamen naast grondrechtelijke waarborgen ook beperkingsmogelijkheden voor. De Staatsregeling van 1798 bijvoorbeeld gaf de mogelijkheid om de waarborgen voor de burger te onderwerpen aan beperkingen, mits die beperkingen noodzakelijk waren voor de bescherming van algemene belangen.</w:t>
      </w:r>
      <w:r w:rsidRPr="00B37ED6">
        <w:rPr>
          <w:rStyle w:val="FootnoteReference"/>
          <w:rFonts w:ascii="Times New Roman" w:hAnsi="Times New Roman"/>
          <w:bCs/>
          <w:noProof/>
          <w:sz w:val="24"/>
        </w:rPr>
        <w:footnoteReference w:id="6"/>
      </w:r>
    </w:p>
    <w:p w14:paraId="54E406B5"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De aan deze constructie ten grondslag liggende aanname was dat de maatschappij – het vreedzaam samengaan van burgers – alleen dan legitiem geregeerd zou kunnen worden indien de vrijheid als het belangrijkste beginsel zou gelden. Die aanname is in volgende grondwetten – met name na de Restauratie van 1813 en de invoering van een constitutionele monarchie – niet op expliciete wijze terug te vinden. Wel is te zien dat in de grondwetten van 1814 en daarna de beperkingen van grondrechten van een aantal procedurele waarborgen zijn voorzien. Met name in de grondwet van 1848 zijn duidelijke bepalingen opgenomen over een aantal fundamentele rechten zoals de vrijheid van meningsuiting en de vrijheid van godsdienst. Die bepalingen zijn lange tijd een voorbeeld gebleven en een bron van inspiratie ook voor de rechterlijke macht waar het ging om de bescherming van rechten die voor een democratische rechtsstaat in</w:t>
      </w:r>
      <w:r w:rsidR="007249B6">
        <w:rPr>
          <w:rFonts w:ascii="Times New Roman" w:hAnsi="Times New Roman"/>
          <w:bCs/>
          <w:noProof/>
          <w:sz w:val="24"/>
        </w:rPr>
        <w:t xml:space="preserve"> wording essentieel zijn.</w:t>
      </w:r>
      <w:r w:rsidRPr="00B37ED6">
        <w:rPr>
          <w:rFonts w:ascii="Times New Roman" w:hAnsi="Times New Roman"/>
          <w:bCs/>
          <w:noProof/>
          <w:sz w:val="24"/>
        </w:rPr>
        <w:t xml:space="preserve"> </w:t>
      </w:r>
    </w:p>
    <w:p w14:paraId="4AE23A8D" w14:textId="77777777" w:rsidR="00B37ED6" w:rsidRPr="00B37ED6" w:rsidRDefault="00B37ED6" w:rsidP="00B37ED6">
      <w:pPr>
        <w:rPr>
          <w:rFonts w:ascii="Times New Roman" w:hAnsi="Times New Roman"/>
          <w:bCs/>
          <w:noProof/>
          <w:sz w:val="24"/>
        </w:rPr>
      </w:pPr>
    </w:p>
    <w:p w14:paraId="63ED032B"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Tot de grondwetsherziening van 1983 was de regeling van de beperkingsmogelijkheden ten aanzien van de uitoefening van grondrechten echter weinig systematisch. Ook was niet altijd duidelijk of en in welke mate uit grondrechtsnormen rechtstreekse aanspraken van de burger tegenover de overheid konden worden afgeleid. Zo verdedigde A.A.H. Struycken in de eerste jaren van de twintigste eeuw weliswaar de stelling dat grondrechten ‘de vorm van’ subjectieve rechten bezaten, maar de precieze juridische uitwerking van deze stelling is bij hem nog niet te vinden. Onder andere J.R. Stellinga had moeite met de benadering van Struycken en bestreed de gedachte dat er van subjectieve rechten tegenover de overheid sprake zou kunnen zijn. Hoogstens zou van de wetgever een nadere uitwerking van de grondrechtsnormen kunnen worden verwacht.</w:t>
      </w:r>
      <w:r w:rsidRPr="00B37ED6">
        <w:rPr>
          <w:rStyle w:val="FootnoteReference"/>
          <w:rFonts w:ascii="Times New Roman" w:hAnsi="Times New Roman"/>
          <w:bCs/>
          <w:noProof/>
          <w:sz w:val="24"/>
        </w:rPr>
        <w:footnoteReference w:id="7"/>
      </w:r>
    </w:p>
    <w:p w14:paraId="169F818F" w14:textId="77777777" w:rsidR="00B37ED6" w:rsidRPr="00B37ED6" w:rsidRDefault="00B37ED6" w:rsidP="00B37ED6">
      <w:pPr>
        <w:rPr>
          <w:rFonts w:ascii="Times New Roman" w:hAnsi="Times New Roman"/>
          <w:bCs/>
          <w:noProof/>
          <w:sz w:val="24"/>
        </w:rPr>
      </w:pPr>
    </w:p>
    <w:p w14:paraId="003A04DF"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 xml:space="preserve">Pas toen in de periode na de Tweede Wereldoorlog – en als reactie op de verschrikkingen van die oorlog – de aandacht voor fundamentele rechten internationaal gezien sterk begon toe te </w:t>
      </w:r>
      <w:r w:rsidRPr="00B37ED6">
        <w:rPr>
          <w:rFonts w:ascii="Times New Roman" w:hAnsi="Times New Roman"/>
          <w:bCs/>
          <w:noProof/>
          <w:sz w:val="24"/>
        </w:rPr>
        <w:lastRenderedPageBreak/>
        <w:t xml:space="preserve">nemen, grondwetten in allerlei landen series grondrechtsnormen begonnen te bevatten en er verschillende verdragen werden gesloten om het internationale toezicht op de naleving van fundamentele rechten mogelijk te maken, kwam er hernieuwde aandacht voor de problemen van reikwijdte en beperkingsmogelijkheden van grondrechten. In de eerste plaats werd gestreefd naar verduidelijking van de reikwijdte van grondrechtennormen: welke handelingen worden precies beschermd door een bepaalde grondrechtsnorm? In de tweede plaats was er discussie over de vraag wanneer en onder welke voorwaarden de uitoefening van de grondrechten konden worden gereguleerd. Hierin bracht M.C. Burkens in 1971 enig licht door helder te maken dat in Nederland veelal was aangenomen dat de grondrechten aan ‘algemene beperkingen’ onderworpen zouden kunnen worden, maar dat eigenlijk niet erg duidelijk was wat die ‘algemene beperkingen’ zouden kunnen inhouden. Daarmee werd de positie van de burger ten opzichte van de overheid zijns inziens onnodig verzwakt. Het zou daarom de voorkeur verdienen in de Grondwet veel preciezer te omschrijven welke beperkingen wel en welke niet aanvaardbaar zouden zijn. Onder verwijzing naar het </w:t>
      </w:r>
      <w:r w:rsidRPr="00B37ED6">
        <w:rPr>
          <w:rFonts w:ascii="Times New Roman" w:hAnsi="Times New Roman"/>
          <w:bCs/>
          <w:i/>
          <w:noProof/>
          <w:sz w:val="24"/>
        </w:rPr>
        <w:t>Bestimmtheitsgebot</w:t>
      </w:r>
      <w:r w:rsidRPr="00B37ED6">
        <w:rPr>
          <w:rFonts w:ascii="Times New Roman" w:hAnsi="Times New Roman"/>
          <w:bCs/>
          <w:noProof/>
          <w:sz w:val="24"/>
        </w:rPr>
        <w:t xml:space="preserve"> in het Duitse constitutionele recht bepleitte Burkens een precisering en verfijning van de beperkingsclausules. </w:t>
      </w:r>
    </w:p>
    <w:p w14:paraId="4CD9A226" w14:textId="77777777" w:rsidR="00B37ED6" w:rsidRPr="00B37ED6" w:rsidRDefault="00B37ED6" w:rsidP="00B37ED6">
      <w:pPr>
        <w:rPr>
          <w:rFonts w:ascii="Times New Roman" w:hAnsi="Times New Roman"/>
          <w:bCs/>
          <w:noProof/>
          <w:sz w:val="24"/>
        </w:rPr>
      </w:pPr>
    </w:p>
    <w:p w14:paraId="542E5C0E"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De grondwetgever heeft deze gedachtegang gevolgd en in de Grondwet van 1983 is dan ook een poging tot uniformering van de beperkingssystematiek aan te treffen. Hoewel kan worden aangenomen dat dit in zijn algemeenheid een verbetering van de grondrechtenbescherming met zich heeft gebracht,</w:t>
      </w:r>
      <w:r w:rsidRPr="00B37ED6">
        <w:rPr>
          <w:rStyle w:val="FootnoteReference"/>
          <w:rFonts w:ascii="Times New Roman" w:hAnsi="Times New Roman"/>
          <w:bCs/>
          <w:noProof/>
          <w:sz w:val="24"/>
        </w:rPr>
        <w:footnoteReference w:id="8"/>
      </w:r>
      <w:r w:rsidRPr="00B37ED6">
        <w:rPr>
          <w:rFonts w:ascii="Times New Roman" w:hAnsi="Times New Roman"/>
          <w:bCs/>
          <w:noProof/>
          <w:sz w:val="24"/>
        </w:rPr>
        <w:t xml:space="preserve"> is er naar de mening van de regering verdere precisering en versterking van de grondrechtenbescherming mogelijk. Dat hangt samen met enkele inmiddels erkende gebreken van de huidige systematiek. </w:t>
      </w:r>
    </w:p>
    <w:p w14:paraId="118E5B8E" w14:textId="77777777" w:rsidR="00B37ED6" w:rsidRPr="00B37ED6" w:rsidRDefault="00B37ED6" w:rsidP="00B37ED6">
      <w:pPr>
        <w:rPr>
          <w:rFonts w:ascii="Times New Roman" w:hAnsi="Times New Roman"/>
          <w:bCs/>
          <w:noProof/>
          <w:sz w:val="24"/>
        </w:rPr>
      </w:pPr>
    </w:p>
    <w:p w14:paraId="1D5B2197" w14:textId="77777777" w:rsidR="00B37ED6" w:rsidRPr="00B37ED6" w:rsidRDefault="00B37ED6" w:rsidP="00B37ED6">
      <w:pPr>
        <w:rPr>
          <w:rFonts w:ascii="Times New Roman" w:hAnsi="Times New Roman"/>
          <w:b/>
          <w:noProof/>
          <w:sz w:val="24"/>
        </w:rPr>
      </w:pPr>
      <w:r w:rsidRPr="00B37ED6">
        <w:rPr>
          <w:rFonts w:ascii="Times New Roman" w:hAnsi="Times New Roman"/>
          <w:b/>
          <w:noProof/>
          <w:sz w:val="24"/>
        </w:rPr>
        <w:t>3. Tekortkomingen in de huidige beperkingssystematiek</w:t>
      </w:r>
    </w:p>
    <w:p w14:paraId="4C2470E0" w14:textId="77777777" w:rsidR="00B37ED6" w:rsidRPr="00B37ED6" w:rsidRDefault="00B37ED6" w:rsidP="00B37ED6">
      <w:pPr>
        <w:rPr>
          <w:rFonts w:ascii="Times New Roman" w:hAnsi="Times New Roman"/>
          <w:bCs/>
          <w:noProof/>
          <w:sz w:val="24"/>
        </w:rPr>
      </w:pPr>
    </w:p>
    <w:p w14:paraId="2D0B251B"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De huidige beperkingssystematiek legt een zware verantwoordelijkheid en een grote vrijheid neer bij de wetgever. De systematiek van de Grondwet brengt mee dat beperking van een grondrecht slechts rechtmatig is indien zij plaatsvindt bij wet of op grondslag van een in de wet (in formele zin) terug te vinden competentievoorschrift. Dit is in die zin waardevol dat er voor beperkingen steeds een deugdelijke democratische legitimatie wordt gegarandeerd.  Tegelijkertijd kent de systematiek zoals die in 1983 is gecreëerd een aantal tekortkomingen. Weliswaar is bij de herziening van 1983 gepoogd zoveel mogelijk houvast voor burger en regelgever te bieden door de introductie van een vaste delegatieterminologie, maar naar de mening van</w:t>
      </w:r>
      <w:r w:rsidR="00615C2A">
        <w:rPr>
          <w:rFonts w:ascii="Times New Roman" w:hAnsi="Times New Roman"/>
          <w:bCs/>
          <w:noProof/>
          <w:sz w:val="24"/>
        </w:rPr>
        <w:t xml:space="preserve"> de</w:t>
      </w:r>
      <w:r w:rsidRPr="00B37ED6">
        <w:rPr>
          <w:rFonts w:ascii="Times New Roman" w:hAnsi="Times New Roman"/>
          <w:bCs/>
          <w:noProof/>
          <w:sz w:val="24"/>
        </w:rPr>
        <w:t xml:space="preserve"> regering is deze poging – hoewel een stap vooruit – ontoereikend gebleken omdat de terminologie nog steeds niet geheel consistent is (zie bijv. de artikelen 23 en 110 Grondwet). Daarnaast levert de systematiek veel werk op voor de rechter, waarop in de literatuur ook is gewezen.</w:t>
      </w:r>
      <w:r w:rsidRPr="00B37ED6">
        <w:rPr>
          <w:rFonts w:ascii="Times New Roman" w:hAnsi="Times New Roman"/>
          <w:bCs/>
          <w:noProof/>
          <w:sz w:val="24"/>
          <w:vertAlign w:val="superscript"/>
        </w:rPr>
        <w:footnoteReference w:id="9"/>
      </w:r>
    </w:p>
    <w:p w14:paraId="1F9B4D95" w14:textId="77777777" w:rsidR="00B37ED6" w:rsidRPr="00B37ED6" w:rsidRDefault="00B37ED6" w:rsidP="00B37ED6">
      <w:pPr>
        <w:rPr>
          <w:rFonts w:ascii="Times New Roman" w:hAnsi="Times New Roman"/>
          <w:bCs/>
          <w:noProof/>
          <w:sz w:val="24"/>
        </w:rPr>
      </w:pPr>
    </w:p>
    <w:p w14:paraId="23FC1FA1"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In de tweede plaats is uit onderzoek en uit de rapporten van de recente Staatscommissies Grondwet en Parlementair Stelsel is gebleken dat de Nederlandse Grondwet in het algemeen waardevol wordt gevonden, maar dat tegelijkertijd wordt aangenomen dat deze aan normatieve betekenis zou kunnen winnen.</w:t>
      </w:r>
      <w:r w:rsidRPr="00B37ED6">
        <w:rPr>
          <w:rFonts w:ascii="Times New Roman" w:hAnsi="Times New Roman"/>
          <w:bCs/>
          <w:noProof/>
          <w:sz w:val="24"/>
          <w:vertAlign w:val="superscript"/>
        </w:rPr>
        <w:footnoteReference w:id="10"/>
      </w:r>
      <w:r w:rsidRPr="00B37ED6">
        <w:rPr>
          <w:rFonts w:ascii="Times New Roman" w:hAnsi="Times New Roman"/>
          <w:bCs/>
          <w:noProof/>
          <w:sz w:val="24"/>
        </w:rPr>
        <w:t xml:space="preserve"> Op het punt van de grondrechten worden </w:t>
      </w:r>
      <w:r w:rsidRPr="00B37ED6">
        <w:rPr>
          <w:rFonts w:ascii="Times New Roman" w:hAnsi="Times New Roman"/>
          <w:bCs/>
          <w:noProof/>
          <w:sz w:val="24"/>
        </w:rPr>
        <w:lastRenderedPageBreak/>
        <w:t>bepaalde formuleringen verouderd of onduidelijk gevonden of sluiten deze niet meer goed aan bij technologische ontwikkelingen. Daarnaast ontbrak tot voor kort een aantal belangrijke grondrechten in de in het eerste hoofdstuk opgenomen catalogus.</w:t>
      </w:r>
      <w:r w:rsidRPr="00B37ED6">
        <w:rPr>
          <w:rFonts w:ascii="Times New Roman" w:hAnsi="Times New Roman"/>
          <w:bCs/>
          <w:noProof/>
          <w:sz w:val="24"/>
          <w:vertAlign w:val="superscript"/>
        </w:rPr>
        <w:footnoteReference w:id="11"/>
      </w:r>
      <w:r w:rsidRPr="00B37ED6">
        <w:rPr>
          <w:rFonts w:ascii="Times New Roman" w:hAnsi="Times New Roman"/>
          <w:bCs/>
          <w:noProof/>
          <w:sz w:val="24"/>
        </w:rPr>
        <w:t xml:space="preserve"> Veel internationale verdragen, met name het EVRM en het Handvest, zijn op dit punt vollediger en actueler.</w:t>
      </w:r>
      <w:r w:rsidRPr="00B37ED6">
        <w:rPr>
          <w:rFonts w:ascii="Times New Roman" w:hAnsi="Times New Roman"/>
          <w:bCs/>
          <w:noProof/>
          <w:sz w:val="24"/>
          <w:vertAlign w:val="superscript"/>
        </w:rPr>
        <w:footnoteReference w:id="12"/>
      </w:r>
      <w:r w:rsidRPr="00B37ED6">
        <w:rPr>
          <w:rFonts w:ascii="Times New Roman" w:hAnsi="Times New Roman"/>
          <w:bCs/>
          <w:noProof/>
          <w:sz w:val="24"/>
        </w:rPr>
        <w:t xml:space="preserve"> Daar komt bij dat het EHRM en het HvJ EU in de loop van de tijd veel mogelijkheden hebben gekregen om de bepalingen van het EVRM en het Handvest verder uit te werken en daarbij standaarden te ontwikkelen die gemakkelijk ook in nationale rechtsordes kunnen worden toegepast.</w:t>
      </w:r>
      <w:r w:rsidRPr="00B37ED6">
        <w:rPr>
          <w:rFonts w:ascii="Times New Roman" w:hAnsi="Times New Roman"/>
          <w:bCs/>
          <w:noProof/>
          <w:sz w:val="24"/>
          <w:vertAlign w:val="superscript"/>
        </w:rPr>
        <w:footnoteReference w:id="13"/>
      </w:r>
      <w:r w:rsidRPr="00B37ED6">
        <w:rPr>
          <w:rFonts w:ascii="Times New Roman" w:hAnsi="Times New Roman"/>
          <w:bCs/>
          <w:noProof/>
          <w:sz w:val="24"/>
        </w:rPr>
        <w:t xml:space="preserve"> Deze standaarden zijn in veel gevallen gebaseerd op beperkingsclausules die in de Nederlandse Grondwet ontbreken, met name het vereiste van noodzakelijkheid in een democratische samenleving, het vereiste van proportionaliteit of een redelijk evenwicht tussen belangen, en het vereiste dat grondrechten niet in hun wezenlijke kern mogen worden aangetast.</w:t>
      </w:r>
      <w:r w:rsidRPr="00B37ED6">
        <w:rPr>
          <w:rFonts w:ascii="Times New Roman" w:hAnsi="Times New Roman"/>
          <w:bCs/>
          <w:noProof/>
          <w:sz w:val="24"/>
          <w:vertAlign w:val="superscript"/>
        </w:rPr>
        <w:footnoteReference w:id="14"/>
      </w:r>
      <w:r w:rsidRPr="00B37ED6">
        <w:rPr>
          <w:rFonts w:ascii="Times New Roman" w:hAnsi="Times New Roman"/>
          <w:bCs/>
          <w:noProof/>
          <w:sz w:val="24"/>
        </w:rPr>
        <w:t xml:space="preserve"> De op die manier ontwikkelde Europese standaarden worden ook in de Nederlandse rechtsorde stelselmatig toegepast, zowel door rechters – die blijkens artikel 94 Grondwet en de HvJ EU-rechtspraak de Europese verdragen als toetsingsmaatstaf kunnen en moeten gebruiken – als bij de voorbereiding van wetgeving. Dit houdt deels verband met de bruikbaarheid en verfijndheid van deze standaarden, maar deels ook met het feit dat aanknopingspunten voor het ontwikkelen van vergelijkbare standaarden in de Nederlandse Grondwet momenteel ontbreken.</w:t>
      </w:r>
      <w:r w:rsidRPr="00B37ED6">
        <w:rPr>
          <w:rFonts w:ascii="Times New Roman" w:hAnsi="Times New Roman"/>
          <w:bCs/>
          <w:noProof/>
          <w:sz w:val="24"/>
          <w:vertAlign w:val="superscript"/>
        </w:rPr>
        <w:footnoteReference w:id="15"/>
      </w:r>
    </w:p>
    <w:p w14:paraId="1A561671" w14:textId="77777777" w:rsidR="00B37ED6" w:rsidRPr="00B37ED6" w:rsidRDefault="00B37ED6" w:rsidP="00B37ED6">
      <w:pPr>
        <w:rPr>
          <w:rFonts w:ascii="Times New Roman" w:hAnsi="Times New Roman"/>
          <w:bCs/>
          <w:noProof/>
          <w:sz w:val="24"/>
        </w:rPr>
      </w:pPr>
    </w:p>
    <w:p w14:paraId="73A7B44E" w14:textId="77777777" w:rsidR="00B37ED6" w:rsidRPr="00B37ED6" w:rsidRDefault="00B37ED6" w:rsidP="00B37ED6">
      <w:pPr>
        <w:rPr>
          <w:rFonts w:ascii="Times New Roman" w:hAnsi="Times New Roman"/>
          <w:bCs/>
          <w:noProof/>
          <w:sz w:val="24"/>
        </w:rPr>
      </w:pPr>
      <w:r w:rsidRPr="00B37ED6">
        <w:rPr>
          <w:rFonts w:ascii="Times New Roman" w:hAnsi="Times New Roman"/>
          <w:bCs/>
          <w:noProof/>
          <w:sz w:val="24"/>
        </w:rPr>
        <w:t xml:space="preserve">Ten derde is de huidige beperkingssystematiek uitdrukkelijk niet bedoeld voor de situatie waarin uiteindelijk een rechter bevoegd is om een oordeel te geven over de conformiteit van formele wetgeving met de Grondwet. Wanneer rechterlijke constitutionele toetsing wordt ingevoerd, betekent dit dat de rechter in hoofdstuk 1 maar weinig aangrijpingspunten kan vinden voor zijn beoordeling. Dit kan aanleiding geven tot rechterlijk activisme – in de vorm van het ontwikkelen van eigen criteria buiten de grondwetsbepalingen om – of tot het alsnog toepassen van de Europese standaarden en grondrechtennormen, in plaats van tot rechterlijke toepassing van de grondrechten zoals ze in de Grondwet vervat zijn. Op zijn beurt kan dat tot gevolg hebben dat de extra bescherming en de bijzondere symbolische betekenis die uitgaan van de toetsingsmogelijkheid niet goed tot hun recht komen.  Het is ook om die reden aangewezen om in de Grondwet vast te leggen aan welke maatstaven beperkingen van grondrechten moeten voldoen, naast aan de al genoemde competentievoorschriften, doelvoorschriften en procedurevoorschriften. </w:t>
      </w:r>
    </w:p>
    <w:p w14:paraId="03BD0A94" w14:textId="77777777" w:rsidR="00B37ED6" w:rsidRPr="00B37ED6" w:rsidRDefault="00B37ED6" w:rsidP="00B37ED6">
      <w:pPr>
        <w:rPr>
          <w:rFonts w:ascii="Times New Roman" w:hAnsi="Times New Roman"/>
          <w:bCs/>
          <w:noProof/>
          <w:sz w:val="24"/>
        </w:rPr>
      </w:pPr>
    </w:p>
    <w:p w14:paraId="064B7529"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Uit het vorenstaande volgt naar het oordeel van de regering dat er overtuigende argumenten zijn om het grondwettelijk stelsel van grondrechtenbescherming uit te breiden en aan te vullen met de voorgestelde bepaling. Daarmee wordt ook tegemoet te komen aan de wens de Grondwet in de Nederlandse rechtsorde meer betekenis toe te kennen en in de noodzaak om rechters voldoende aangrijpingspunten voor hun beoordeling te geven wanneer constitutionele toetsing wordt toegestaan.</w:t>
      </w:r>
    </w:p>
    <w:p w14:paraId="17DA4B83" w14:textId="77777777" w:rsidR="00B37ED6" w:rsidRPr="00B37ED6" w:rsidRDefault="00B37ED6" w:rsidP="00B37ED6">
      <w:pPr>
        <w:rPr>
          <w:rFonts w:ascii="Times New Roman" w:hAnsi="Times New Roman"/>
          <w:noProof/>
          <w:sz w:val="24"/>
        </w:rPr>
      </w:pPr>
    </w:p>
    <w:p w14:paraId="2C8F9B1C" w14:textId="77777777" w:rsidR="00B37ED6" w:rsidRPr="00B37ED6" w:rsidRDefault="00B37ED6" w:rsidP="00B37ED6">
      <w:pPr>
        <w:rPr>
          <w:rFonts w:ascii="Times New Roman" w:hAnsi="Times New Roman"/>
          <w:b/>
          <w:bCs/>
          <w:noProof/>
          <w:sz w:val="24"/>
        </w:rPr>
      </w:pPr>
      <w:r w:rsidRPr="00B37ED6">
        <w:rPr>
          <w:rFonts w:ascii="Times New Roman" w:hAnsi="Times New Roman"/>
          <w:b/>
          <w:bCs/>
          <w:noProof/>
          <w:sz w:val="24"/>
        </w:rPr>
        <w:t>4. Doel en noodzaak van een algemene, generieke beperkingsclausule</w:t>
      </w:r>
    </w:p>
    <w:p w14:paraId="1C3E55B2" w14:textId="77777777" w:rsidR="00B37ED6" w:rsidRPr="00B37ED6" w:rsidRDefault="00B37ED6" w:rsidP="00B37ED6">
      <w:pPr>
        <w:rPr>
          <w:rFonts w:ascii="Times New Roman" w:hAnsi="Times New Roman"/>
          <w:noProof/>
          <w:sz w:val="24"/>
        </w:rPr>
      </w:pPr>
    </w:p>
    <w:p w14:paraId="1E6A3CF2"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Tegen de hiervoor geschetste achtergrond kan worden begrepen dat het toevoegen van een duidelijke, generieke beperkingsclausule ten goede komt aan de toegankelijkheid en normativiteit van de Grondwet.</w:t>
      </w:r>
      <w:r w:rsidRPr="00B37ED6">
        <w:rPr>
          <w:rStyle w:val="FootnoteReference"/>
          <w:rFonts w:ascii="Times New Roman" w:hAnsi="Times New Roman"/>
          <w:noProof/>
          <w:sz w:val="24"/>
        </w:rPr>
        <w:footnoteReference w:id="16"/>
      </w:r>
      <w:r w:rsidRPr="00B37ED6">
        <w:rPr>
          <w:rFonts w:ascii="Times New Roman" w:hAnsi="Times New Roman"/>
          <w:noProof/>
          <w:sz w:val="24"/>
        </w:rPr>
        <w:t xml:space="preserve"> De Grondwet kan door het opnemen van een dergelijke bepaling </w:t>
      </w:r>
      <w:r w:rsidR="00615C2A" w:rsidRPr="00B37ED6">
        <w:rPr>
          <w:rFonts w:ascii="Times New Roman" w:hAnsi="Times New Roman"/>
          <w:noProof/>
          <w:sz w:val="24"/>
        </w:rPr>
        <w:t xml:space="preserve">naast de bestaande internationale verdragen </w:t>
      </w:r>
      <w:r w:rsidRPr="00B37ED6">
        <w:rPr>
          <w:rFonts w:ascii="Times New Roman" w:hAnsi="Times New Roman"/>
          <w:noProof/>
          <w:sz w:val="24"/>
        </w:rPr>
        <w:t xml:space="preserve">een grotere betekenis krijgen en kan een meer eigenstandige functie verwerven voor het sturen van politieke en juridische debatten. </w:t>
      </w:r>
    </w:p>
    <w:p w14:paraId="6CB0DAFD" w14:textId="77777777" w:rsidR="00B37ED6" w:rsidRPr="00B37ED6" w:rsidRDefault="00B37ED6" w:rsidP="00B37ED6">
      <w:pPr>
        <w:rPr>
          <w:rFonts w:ascii="Times New Roman" w:hAnsi="Times New Roman"/>
          <w:noProof/>
          <w:sz w:val="24"/>
        </w:rPr>
      </w:pPr>
    </w:p>
    <w:p w14:paraId="57CE1C43"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Hoewel Europees recht (EVRM en EU-recht) niet dwingt tot de invoering van de voorgestelde bepaling, is voor uitleg en toepassing van de thans voorgestelde toevoeging aan de beperkingssystematiek van de grondwettelijke grondrechten van groot belang dat zij aansluit bij en voortbouwt op hetgeen in normen van Europees recht is te vinden. Dit geldt zowel voor Europese regelgeving als – met name – voor de ter zake ontwikkelde rechtspraak. Daarnaast is het wenselijk om met de voorgestelde bepaling tot een daadwerkelijke verbetering te komen ten opzichte van de rechtspraakcriteria zoals die op basis van het EVRM en het Handvest zijn ontwikkeld. Zoals in paragraaf 5 wordt toegelicht, bevatten die maatstaven verschillende onduidelijkheden die met de voorgestelde wijziging kunnen worden weggenomen.</w:t>
      </w:r>
    </w:p>
    <w:p w14:paraId="191F1607" w14:textId="77777777" w:rsidR="00B37ED6" w:rsidRDefault="00B37ED6" w:rsidP="00B37ED6">
      <w:pPr>
        <w:rPr>
          <w:rFonts w:ascii="Times New Roman" w:hAnsi="Times New Roman"/>
          <w:noProof/>
          <w:sz w:val="24"/>
        </w:rPr>
      </w:pPr>
    </w:p>
    <w:p w14:paraId="589CBC4B" w14:textId="77777777" w:rsidR="00615C2A" w:rsidRPr="0007337F" w:rsidRDefault="00615C2A" w:rsidP="00B37ED6">
      <w:pPr>
        <w:rPr>
          <w:rFonts w:ascii="Times New Roman" w:hAnsi="Times New Roman"/>
          <w:b/>
          <w:noProof/>
          <w:sz w:val="24"/>
        </w:rPr>
      </w:pPr>
      <w:r w:rsidRPr="0007337F">
        <w:rPr>
          <w:rFonts w:ascii="Times New Roman" w:hAnsi="Times New Roman"/>
          <w:b/>
          <w:noProof/>
          <w:sz w:val="24"/>
        </w:rPr>
        <w:t>5. Grondrechtbeper</w:t>
      </w:r>
      <w:r w:rsidR="00053EB8">
        <w:rPr>
          <w:rFonts w:ascii="Times New Roman" w:hAnsi="Times New Roman"/>
          <w:b/>
          <w:noProof/>
          <w:sz w:val="24"/>
        </w:rPr>
        <w:t>k</w:t>
      </w:r>
      <w:r w:rsidRPr="0007337F">
        <w:rPr>
          <w:rFonts w:ascii="Times New Roman" w:hAnsi="Times New Roman"/>
          <w:b/>
          <w:noProof/>
          <w:sz w:val="24"/>
        </w:rPr>
        <w:t>ing in internationale</w:t>
      </w:r>
      <w:r>
        <w:rPr>
          <w:rFonts w:ascii="Times New Roman" w:hAnsi="Times New Roman"/>
          <w:b/>
          <w:noProof/>
          <w:sz w:val="24"/>
        </w:rPr>
        <w:t>/Europese</w:t>
      </w:r>
      <w:r w:rsidRPr="0007337F">
        <w:rPr>
          <w:rFonts w:ascii="Times New Roman" w:hAnsi="Times New Roman"/>
          <w:b/>
          <w:noProof/>
          <w:sz w:val="24"/>
        </w:rPr>
        <w:t xml:space="preserve"> verdragen</w:t>
      </w:r>
    </w:p>
    <w:p w14:paraId="0FF07A77" w14:textId="77777777" w:rsidR="00615C2A" w:rsidRPr="00B37ED6" w:rsidRDefault="00615C2A" w:rsidP="00B37ED6">
      <w:pPr>
        <w:rPr>
          <w:rFonts w:ascii="Times New Roman" w:hAnsi="Times New Roman"/>
          <w:noProof/>
          <w:sz w:val="24"/>
        </w:rPr>
      </w:pPr>
    </w:p>
    <w:p w14:paraId="1796EC51" w14:textId="77777777" w:rsidR="00B37ED6" w:rsidRPr="00B37ED6" w:rsidRDefault="00B37ED6" w:rsidP="00B37ED6">
      <w:pPr>
        <w:rPr>
          <w:rFonts w:ascii="Times New Roman" w:hAnsi="Times New Roman"/>
          <w:noProof/>
          <w:sz w:val="24"/>
        </w:rPr>
      </w:pPr>
      <w:r w:rsidRPr="00B37ED6">
        <w:rPr>
          <w:rFonts w:ascii="Times New Roman" w:hAnsi="Times New Roman"/>
          <w:bCs/>
          <w:i/>
          <w:noProof/>
          <w:sz w:val="24"/>
        </w:rPr>
        <w:t xml:space="preserve">5.1. De beperkingssystematiek van het EVRM </w:t>
      </w:r>
    </w:p>
    <w:p w14:paraId="13F4A50A" w14:textId="77777777" w:rsidR="00B37ED6" w:rsidRPr="00B37ED6" w:rsidRDefault="00B37ED6" w:rsidP="00B37ED6">
      <w:pPr>
        <w:rPr>
          <w:rFonts w:ascii="Times New Roman" w:hAnsi="Times New Roman"/>
          <w:noProof/>
          <w:sz w:val="24"/>
        </w:rPr>
      </w:pPr>
    </w:p>
    <w:p w14:paraId="2B6C1A4B"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Het EVRM omvat een complexe beperkingssystematiek.</w:t>
      </w:r>
      <w:r w:rsidRPr="00B37ED6">
        <w:rPr>
          <w:rStyle w:val="FootnoteReference"/>
          <w:rFonts w:ascii="Times New Roman" w:hAnsi="Times New Roman"/>
          <w:noProof/>
          <w:sz w:val="24"/>
        </w:rPr>
        <w:footnoteReference w:id="17"/>
      </w:r>
      <w:r w:rsidRPr="00B37ED6">
        <w:rPr>
          <w:rFonts w:ascii="Times New Roman" w:hAnsi="Times New Roman"/>
          <w:noProof/>
          <w:sz w:val="24"/>
        </w:rPr>
        <w:t xml:space="preserve"> Niet alle bepalingen bevatten een uitdrukkelijke beperkingsclausule waarin de voorwaarden voor het legitiem beperken van grondrechten zijn opgenomen. In bepaalde gevallen, zoals bij het verbod van foltering en onmenselijke en vernederende behandeling dat is vastgelegd in artikel 3 EVRM, moet uit het ontbreken van een beperkingsclausule worden afgeleid dat beperkingen in het geheel niet mogelijk zijn. In andere gevallen is de formulering van een bepaling – zoals het in artikel 6 EVRM vastgelegde recht op een ‘eerlijk’ proces – zodanig dat het Europees Hof voor de Rechten van de Mens (EHRM) hierin impliciete mogelijkheden tot beperking heeft gelezen. Weer andere bepalingen, zoals artikelen 8-11 EVRM, vereisen dat grondrechtenbeperkingen ‘noodzakelijk in een democratische samenleving’ zijn, zonder te specificeren wat hiermee wordt bedoeld. </w:t>
      </w:r>
    </w:p>
    <w:p w14:paraId="6D3988C8" w14:textId="77777777" w:rsidR="00B37ED6" w:rsidRPr="00B37ED6" w:rsidRDefault="00B37ED6" w:rsidP="00B37ED6">
      <w:pPr>
        <w:rPr>
          <w:rFonts w:ascii="Times New Roman" w:hAnsi="Times New Roman"/>
          <w:noProof/>
          <w:sz w:val="24"/>
        </w:rPr>
      </w:pPr>
    </w:p>
    <w:p w14:paraId="5341632E"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lastRenderedPageBreak/>
        <w:t>In zijn rechtspraak heeft het EHRM geleidelijk aan de betekenis van de verschillende beperkingsclausules en -voorwaarden verduidelijkt en gespecificeerd.</w:t>
      </w:r>
      <w:r w:rsidRPr="00B37ED6">
        <w:rPr>
          <w:rStyle w:val="FootnoteReference"/>
          <w:rFonts w:ascii="Times New Roman" w:hAnsi="Times New Roman"/>
          <w:noProof/>
          <w:sz w:val="24"/>
        </w:rPr>
        <w:footnoteReference w:id="18"/>
      </w:r>
      <w:r w:rsidRPr="00B37ED6">
        <w:rPr>
          <w:rFonts w:ascii="Times New Roman" w:hAnsi="Times New Roman"/>
          <w:noProof/>
          <w:sz w:val="24"/>
        </w:rPr>
        <w:t xml:space="preserve"> Aanvankelijk heeft het dat vooral gedaan door toe te lichten wat het begrip ‘noodzakelijkheid’ behelst. Volgens de EHRM-rechtspraak betekent dit dat een beperking van een grondrecht niet slechts ‘nuttig’ is om een maatschappelijk doel te bereiken’, maar het is evenmin noodzakelijk dat wordt aangetoond dat de grondrechtenbeperking ‘onmisbaar’ is.</w:t>
      </w:r>
      <w:r w:rsidRPr="00B37ED6">
        <w:rPr>
          <w:rStyle w:val="FootnoteReference"/>
          <w:rFonts w:ascii="Times New Roman" w:hAnsi="Times New Roman"/>
          <w:noProof/>
          <w:sz w:val="24"/>
        </w:rPr>
        <w:footnoteReference w:id="19"/>
      </w:r>
      <w:r w:rsidRPr="00B37ED6">
        <w:rPr>
          <w:rFonts w:ascii="Times New Roman" w:hAnsi="Times New Roman"/>
          <w:noProof/>
          <w:sz w:val="24"/>
        </w:rPr>
        <w:t xml:space="preserve"> In plaats daarvan moet een staat aannemelijk maken dat er een ‘dwingende maatschappelijke behoefte’ bestaat aan de beperking.</w:t>
      </w:r>
      <w:r w:rsidRPr="00B37ED6">
        <w:rPr>
          <w:rStyle w:val="FootnoteReference"/>
          <w:rFonts w:ascii="Times New Roman" w:hAnsi="Times New Roman"/>
          <w:noProof/>
          <w:sz w:val="24"/>
        </w:rPr>
        <w:footnoteReference w:id="20"/>
      </w:r>
      <w:r w:rsidRPr="00B37ED6">
        <w:rPr>
          <w:rFonts w:ascii="Times New Roman" w:hAnsi="Times New Roman"/>
          <w:noProof/>
          <w:sz w:val="24"/>
        </w:rPr>
        <w:t xml:space="preserve"> Bovendien moet worden aangetoond dat de aangevoerde rechtvaardiging voor een grondrechtenbeperking ‘relevant en voldoende’ is.</w:t>
      </w:r>
      <w:r w:rsidRPr="00B37ED6">
        <w:rPr>
          <w:rStyle w:val="FootnoteReference"/>
          <w:rFonts w:ascii="Times New Roman" w:hAnsi="Times New Roman"/>
          <w:noProof/>
          <w:sz w:val="24"/>
        </w:rPr>
        <w:footnoteReference w:id="21"/>
      </w:r>
      <w:r w:rsidRPr="00B37ED6">
        <w:rPr>
          <w:rFonts w:ascii="Times New Roman" w:hAnsi="Times New Roman"/>
          <w:noProof/>
          <w:sz w:val="24"/>
        </w:rPr>
        <w:t xml:space="preserve"> Deze criteria zijn gerelateerd aan twee criteria die in de rechtswetenschappelijke doctrine wel zijn omschreven als de vereisten van geschiktheid of effectiviteit en van noodzakelijkheid of subsidiariteit. Beide vereisten houden verband met de relatie tussen het met een grondrechtenbeperking nagestreefde doel en het daarvoor gehanteerde middel. Wanneer een grondrechtenbeperkende maatregel niet geschikt of effectief is om bepaalde doelstellingen te bereiken, zal er geen ‘voldoende of relevante’ reden voor het invoeren van de beperking bestaan. Zijn er andere mogelijkheden beschikbaar om de doelen te realiseren die minder inbreuk maken op een grondrecht, zal niet zijn voldaan aan de eis van een ‘dwingende maatschappelijke behoefte’ voor het invoeren van de beperkende regeling.</w:t>
      </w:r>
      <w:r w:rsidRPr="00B37ED6">
        <w:rPr>
          <w:rStyle w:val="FootnoteReference"/>
          <w:rFonts w:ascii="Times New Roman" w:hAnsi="Times New Roman"/>
          <w:noProof/>
          <w:sz w:val="24"/>
        </w:rPr>
        <w:footnoteReference w:id="22"/>
      </w:r>
    </w:p>
    <w:p w14:paraId="0E86C5BD" w14:textId="77777777" w:rsidR="00B37ED6" w:rsidRPr="00B37ED6" w:rsidRDefault="00B37ED6" w:rsidP="00B37ED6">
      <w:pPr>
        <w:rPr>
          <w:rFonts w:ascii="Times New Roman" w:hAnsi="Times New Roman"/>
          <w:noProof/>
          <w:sz w:val="24"/>
        </w:rPr>
      </w:pPr>
    </w:p>
    <w:p w14:paraId="635C97F5"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In de praktijk blijkt het EHRM deze criteria soms wel toe te passen, maar het doet dat lang niet altijd. In plaats daarvan blijkt het EHRM een voorkeur te hebben voor de zogenaamde fair-balance-test.</w:t>
      </w:r>
      <w:r w:rsidRPr="00B37ED6">
        <w:rPr>
          <w:rStyle w:val="FootnoteReference"/>
          <w:rFonts w:ascii="Times New Roman" w:hAnsi="Times New Roman"/>
          <w:noProof/>
          <w:sz w:val="24"/>
        </w:rPr>
        <w:footnoteReference w:id="23"/>
      </w:r>
      <w:r w:rsidRPr="00B37ED6">
        <w:rPr>
          <w:rFonts w:ascii="Times New Roman" w:hAnsi="Times New Roman"/>
          <w:noProof/>
          <w:sz w:val="24"/>
        </w:rPr>
        <w:t xml:space="preserve"> Daarbij staat niet zozeer de relatie tussen doel en instrument centraal, maar is de vraag of – in algemene zin – mag worden aangenomen dat de nagestreefde doelen zwaarder wegen dan de grondrechten die erdoor worden aangetast. Het gaat bij deze test dus om een belangenafweging ofwel om proportionaliteit in strikte zin, terwijl het bij de toetsing van effectiviteit en subsidiariteit (de doel-middelverhouding) gaat om proportionaliteit in ruime zin.</w:t>
      </w:r>
    </w:p>
    <w:p w14:paraId="723E89F6" w14:textId="77777777" w:rsidR="00B37ED6" w:rsidRPr="00B37ED6" w:rsidRDefault="00B37ED6" w:rsidP="00B37ED6">
      <w:pPr>
        <w:rPr>
          <w:rFonts w:ascii="Times New Roman" w:hAnsi="Times New Roman"/>
          <w:noProof/>
          <w:sz w:val="24"/>
        </w:rPr>
      </w:pPr>
    </w:p>
    <w:p w14:paraId="643F9B26" w14:textId="0703E51D" w:rsidR="00B37ED6" w:rsidRPr="00B37ED6" w:rsidRDefault="00B37ED6" w:rsidP="00B37ED6">
      <w:pPr>
        <w:rPr>
          <w:rFonts w:ascii="Times New Roman" w:hAnsi="Times New Roman"/>
          <w:noProof/>
          <w:sz w:val="24"/>
        </w:rPr>
      </w:pPr>
      <w:r w:rsidRPr="00B37ED6">
        <w:rPr>
          <w:rFonts w:ascii="Times New Roman" w:hAnsi="Times New Roman"/>
          <w:noProof/>
          <w:sz w:val="24"/>
        </w:rPr>
        <w:t>De keuze van het EHRM voor het centraal stellen van belangenafweging en proportionaliteit in strikte zin, in plaats van de de verhouding tussen doel en middel, heeft een aantal gevolgen die als problematisch kunnen worden gekenschetst.</w:t>
      </w:r>
      <w:r w:rsidRPr="00B37ED6">
        <w:rPr>
          <w:rStyle w:val="FootnoteReference"/>
          <w:rFonts w:ascii="Times New Roman" w:hAnsi="Times New Roman"/>
          <w:noProof/>
          <w:sz w:val="24"/>
        </w:rPr>
        <w:footnoteReference w:id="24"/>
      </w:r>
      <w:r w:rsidRPr="00B37ED6">
        <w:rPr>
          <w:rFonts w:ascii="Times New Roman" w:hAnsi="Times New Roman"/>
          <w:noProof/>
          <w:sz w:val="24"/>
        </w:rPr>
        <w:t xml:space="preserve"> </w:t>
      </w:r>
      <w:r w:rsidR="00CC7B2B">
        <w:rPr>
          <w:rFonts w:ascii="Times New Roman" w:hAnsi="Times New Roman"/>
          <w:noProof/>
          <w:sz w:val="24"/>
        </w:rPr>
        <w:t xml:space="preserve">Die vormen de reden om dit voorbeeld in het huidige voorstel niet te volgen en het vereiste van proportionaliteit niet te willen lezen als een vereiste van een ‘fair balance’. </w:t>
      </w:r>
      <w:r w:rsidRPr="00B37ED6">
        <w:rPr>
          <w:rFonts w:ascii="Times New Roman" w:hAnsi="Times New Roman"/>
          <w:noProof/>
          <w:sz w:val="24"/>
        </w:rPr>
        <w:t>Van belang is in het bijzonder dat nadere maatstaven om een belangenafweging te kunnen beoordelen ontbreken. Niet duidelijk is hoe het gewicht van een bepaald grondrecht of van een bepaalde inbreuk in een concrete situatie kunnen worden vastgesteld, en hoe het gewicht van een dergelijk grondrecht zich verhoudt tot dat van andere grondrechten of maatschappelijke belangen, zoals volksgezondheid of criminaliteitsbestrijding.</w:t>
      </w:r>
      <w:r w:rsidRPr="00B37ED6">
        <w:rPr>
          <w:rStyle w:val="FootnoteReference"/>
          <w:rFonts w:ascii="Times New Roman" w:hAnsi="Times New Roman"/>
          <w:noProof/>
          <w:sz w:val="24"/>
        </w:rPr>
        <w:footnoteReference w:id="25"/>
      </w:r>
      <w:r w:rsidRPr="00B37ED6">
        <w:rPr>
          <w:rFonts w:ascii="Times New Roman" w:hAnsi="Times New Roman"/>
          <w:noProof/>
          <w:sz w:val="24"/>
        </w:rPr>
        <w:t xml:space="preserve"> </w:t>
      </w:r>
      <w:r w:rsidR="00CC7B2B">
        <w:rPr>
          <w:rFonts w:ascii="Times New Roman" w:hAnsi="Times New Roman"/>
          <w:noProof/>
          <w:sz w:val="24"/>
        </w:rPr>
        <w:t>Deze problemen maken dat het proportionaliteitsvereiste in strikte zin zich niet leent voor opneming in de Grondwet. Doel van de algemene aanvullende beperkingsclausule is immers dat deze rechterlijke toetsing van formele wetgeving aan de Grondwet faciliteert. Tegelijkertijd blijft</w:t>
      </w:r>
      <w:r w:rsidRPr="00B37ED6">
        <w:rPr>
          <w:rFonts w:ascii="Times New Roman" w:hAnsi="Times New Roman"/>
          <w:noProof/>
          <w:sz w:val="24"/>
        </w:rPr>
        <w:t xml:space="preserve"> voor de Grondwet </w:t>
      </w:r>
      <w:r w:rsidR="00CC7B2B">
        <w:rPr>
          <w:rFonts w:ascii="Times New Roman" w:hAnsi="Times New Roman"/>
          <w:noProof/>
          <w:sz w:val="24"/>
        </w:rPr>
        <w:t>het</w:t>
      </w:r>
      <w:r w:rsidR="00CC7B2B" w:rsidRPr="00B37ED6">
        <w:rPr>
          <w:rFonts w:ascii="Times New Roman" w:hAnsi="Times New Roman"/>
          <w:noProof/>
          <w:sz w:val="24"/>
        </w:rPr>
        <w:t xml:space="preserve"> </w:t>
      </w:r>
      <w:r w:rsidRPr="00B37ED6">
        <w:rPr>
          <w:rFonts w:ascii="Times New Roman" w:hAnsi="Times New Roman"/>
          <w:noProof/>
          <w:sz w:val="24"/>
        </w:rPr>
        <w:t>uitgangspunt dat het primair aan de democratische wetgever is om keuzes te kunnen maken tussen met elkaar strijdige rechtsgoederen. Deze moet daarbij voldoende ruimte toekomen, zonder al te gemakkelijk door een rechter te worden gecorrigeerd. Vanuit dat perspectief is het van belang dat de rechter bij toetsing aan de Grondwet primair oordeelt over de – gemakkelijker empirisch vaststelbare – relatie tussen doel en middel</w:t>
      </w:r>
      <w:r w:rsidR="00CC7B2B">
        <w:rPr>
          <w:rFonts w:ascii="Times New Roman" w:hAnsi="Times New Roman"/>
          <w:noProof/>
          <w:sz w:val="24"/>
        </w:rPr>
        <w:t>, en niet over de afweging tussen de betrokken belangen.</w:t>
      </w:r>
    </w:p>
    <w:p w14:paraId="772FF983" w14:textId="77777777" w:rsidR="00B37ED6" w:rsidRPr="00B37ED6" w:rsidRDefault="00B37ED6" w:rsidP="00B37ED6">
      <w:pPr>
        <w:rPr>
          <w:rFonts w:ascii="Times New Roman" w:hAnsi="Times New Roman"/>
          <w:noProof/>
          <w:sz w:val="24"/>
        </w:rPr>
      </w:pPr>
    </w:p>
    <w:p w14:paraId="06840856" w14:textId="77777777" w:rsidR="00B37ED6" w:rsidRPr="00B37ED6" w:rsidRDefault="00B37ED6" w:rsidP="00B37ED6">
      <w:pPr>
        <w:rPr>
          <w:rFonts w:ascii="Times New Roman" w:hAnsi="Times New Roman"/>
          <w:i/>
          <w:iCs/>
          <w:noProof/>
          <w:sz w:val="24"/>
        </w:rPr>
      </w:pPr>
      <w:r w:rsidRPr="00B37ED6">
        <w:rPr>
          <w:rFonts w:ascii="Times New Roman" w:hAnsi="Times New Roman"/>
          <w:i/>
          <w:iCs/>
          <w:noProof/>
          <w:sz w:val="24"/>
        </w:rPr>
        <w:t>5.2. De beperkingssystematiek van het EU-Grondrechtenhandvest</w:t>
      </w:r>
    </w:p>
    <w:p w14:paraId="12407488" w14:textId="77777777" w:rsidR="00B37ED6" w:rsidRPr="00B37ED6" w:rsidRDefault="00B37ED6" w:rsidP="00B37ED6">
      <w:pPr>
        <w:rPr>
          <w:rFonts w:ascii="Times New Roman" w:hAnsi="Times New Roman"/>
          <w:noProof/>
          <w:sz w:val="24"/>
        </w:rPr>
      </w:pPr>
    </w:p>
    <w:p w14:paraId="4DC33C1A"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In het EU-Grondrechtenhandvest zijn de beperkingseisen niet opgenomen in de verschillende grondrechtelijke bepalingen, maar in een generieke beperkingsclausule. Artikel 52, eerste lid, Handvest luidt als volgt: </w:t>
      </w:r>
    </w:p>
    <w:p w14:paraId="55E5A236" w14:textId="77777777" w:rsidR="00B37ED6" w:rsidRPr="00B37ED6" w:rsidRDefault="00B37ED6" w:rsidP="00B37ED6">
      <w:pPr>
        <w:rPr>
          <w:rFonts w:ascii="Times New Roman" w:hAnsi="Times New Roman"/>
          <w:noProof/>
          <w:sz w:val="24"/>
        </w:rPr>
      </w:pPr>
    </w:p>
    <w:p w14:paraId="658CD99E" w14:textId="77777777" w:rsidR="00B37ED6" w:rsidRPr="00B37ED6" w:rsidRDefault="00B37ED6" w:rsidP="00B37ED6">
      <w:pPr>
        <w:ind w:left="708"/>
        <w:rPr>
          <w:rFonts w:ascii="Times New Roman" w:hAnsi="Times New Roman"/>
          <w:noProof/>
          <w:sz w:val="24"/>
        </w:rPr>
      </w:pPr>
      <w:r w:rsidRPr="00B37ED6">
        <w:rPr>
          <w:rFonts w:ascii="Times New Roman" w:hAnsi="Times New Roman"/>
          <w:noProof/>
          <w:sz w:val="24"/>
        </w:rPr>
        <w:t>‘Beperkingen op de uitoefening van de in dit handvest erkende rechten en vrijheden moeten bij wet worden gesteld en de wezenlijke inhoud van die rechten en vrijheden eerbiedigen. Met inachtneming van het evenredigheidsbeginsel kunnen alleen beperkingen worden gesteld indien zij noodzakelijk zijn en daadwerkelijk aan door de Unie erkende doelstellingen van algemeen belang of aan de eisen van de bescherming van de rechten en vrijheden van anderen beantwoorden.’</w:t>
      </w:r>
    </w:p>
    <w:p w14:paraId="678560BB" w14:textId="77777777" w:rsidR="00B37ED6" w:rsidRPr="00B37ED6" w:rsidRDefault="00B37ED6" w:rsidP="00B37ED6">
      <w:pPr>
        <w:rPr>
          <w:rFonts w:ascii="Times New Roman" w:hAnsi="Times New Roman"/>
          <w:noProof/>
          <w:sz w:val="24"/>
        </w:rPr>
      </w:pPr>
    </w:p>
    <w:p w14:paraId="02DCDA14"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De formulering van deze bepaling is geïnspireerd op jurisprudentie van het Hof van Justitie van de EU (HvJ EU) die dateert van voor de inwerkingtreding van het Handvest.</w:t>
      </w:r>
      <w:r w:rsidRPr="00B37ED6">
        <w:rPr>
          <w:rStyle w:val="FootnoteReference"/>
          <w:rFonts w:ascii="Times New Roman" w:hAnsi="Times New Roman"/>
          <w:noProof/>
          <w:sz w:val="24"/>
        </w:rPr>
        <w:footnoteReference w:id="26"/>
      </w:r>
      <w:r w:rsidRPr="00B37ED6">
        <w:rPr>
          <w:rFonts w:ascii="Times New Roman" w:hAnsi="Times New Roman"/>
          <w:noProof/>
          <w:sz w:val="24"/>
        </w:rPr>
        <w:t xml:space="preserve"> De tekst laat zien dat bij beperkingen van de rechten van het Handvest moet sprake zijn van een wettelijke basis en van evenredigheid in ruime zin (</w:t>
      </w:r>
      <w:r w:rsidRPr="00B37ED6">
        <w:rPr>
          <w:rFonts w:ascii="Times New Roman" w:hAnsi="Times New Roman"/>
          <w:i/>
          <w:iCs/>
          <w:noProof/>
          <w:sz w:val="24"/>
        </w:rPr>
        <w:t>proportionality</w:t>
      </w:r>
      <w:r w:rsidRPr="00B37ED6">
        <w:rPr>
          <w:rFonts w:ascii="Times New Roman" w:hAnsi="Times New Roman"/>
          <w:noProof/>
          <w:sz w:val="24"/>
        </w:rPr>
        <w:t xml:space="preserve"> in de Engelse taalversie). Dit laatste vereiste behelst blijkens de tekst van de bepaling dat beperkingen noodzakelijk moeten zijn en daadwerkelijk moeten beantwoorden aan de doelstellingen van algemeen belang of aan de eisen van de bescherming van de rechten en vrijheden van anderen. Uit de Toelichting bij het Handvest volgt dat met ‘doelstellingen van algemeen belang’ wordt gedoeld op ‘de in artikel 3 van het Verdrag betreffende de Europese Unie genoemde doelen evenals andere belangen die die worden beschermd door specifieke bepalingen van de Verdragen’. Tot slot moet de ‘wezenlijke inhoud’ van een recht geëerbiedigd worden, met andere woorden, de kern van de Handvest-rechten mag niet worden aangetast. </w:t>
      </w:r>
    </w:p>
    <w:p w14:paraId="6DA6D335" w14:textId="77777777" w:rsidR="00B37ED6" w:rsidRPr="00B37ED6" w:rsidRDefault="00B37ED6" w:rsidP="00B37ED6">
      <w:pPr>
        <w:rPr>
          <w:rFonts w:ascii="Times New Roman" w:hAnsi="Times New Roman"/>
          <w:noProof/>
          <w:sz w:val="24"/>
        </w:rPr>
      </w:pPr>
    </w:p>
    <w:p w14:paraId="34017CF6" w14:textId="37D56EDB" w:rsidR="00B37ED6" w:rsidRPr="00B37ED6" w:rsidRDefault="00B37ED6" w:rsidP="00B37ED6">
      <w:pPr>
        <w:rPr>
          <w:rFonts w:ascii="Times New Roman" w:hAnsi="Times New Roman"/>
          <w:noProof/>
          <w:sz w:val="24"/>
        </w:rPr>
      </w:pPr>
      <w:r w:rsidRPr="00B37ED6">
        <w:rPr>
          <w:rFonts w:ascii="Times New Roman" w:hAnsi="Times New Roman"/>
          <w:noProof/>
          <w:sz w:val="24"/>
        </w:rPr>
        <w:t>De drie beperkingsvereisten (wettelijke basis, evenredigheid en kernrechtbescherming) en de uitwerking ervan in de jurisprudentie van het HvJ EU kunnen niet geheel los van elkaar worden bezien. De eis dat een beperking bij wet moeten worden gesteld sluit op het eerste gezicht aan bij de in de Nederlandse Grondwet opgenomen competentievoorschriften die verlangen dat de grondslag voor een beperking steeds is vastgelegd in een wet in formele zin. Volgens de jurisprudentie van het HvJ EU geldt een dergelijke formele eis niet,</w:t>
      </w:r>
      <w:r w:rsidRPr="00B37ED6">
        <w:rPr>
          <w:rStyle w:val="FootnoteReference"/>
          <w:rFonts w:ascii="Times New Roman" w:hAnsi="Times New Roman"/>
          <w:noProof/>
          <w:sz w:val="24"/>
        </w:rPr>
        <w:footnoteReference w:id="27"/>
      </w:r>
      <w:r w:rsidRPr="00B37ED6">
        <w:rPr>
          <w:rFonts w:ascii="Times New Roman" w:hAnsi="Times New Roman"/>
          <w:noProof/>
          <w:sz w:val="24"/>
        </w:rPr>
        <w:t xml:space="preserve"> net zomin als dat het geval is volgens de rechtspraak van het EHRM.</w:t>
      </w:r>
      <w:r w:rsidRPr="00B37ED6">
        <w:rPr>
          <w:rStyle w:val="FootnoteReference"/>
          <w:rFonts w:ascii="Times New Roman" w:hAnsi="Times New Roman"/>
          <w:noProof/>
          <w:sz w:val="24"/>
        </w:rPr>
        <w:footnoteReference w:id="28"/>
      </w:r>
      <w:r w:rsidRPr="00B37ED6">
        <w:rPr>
          <w:rFonts w:ascii="Times New Roman" w:hAnsi="Times New Roman"/>
          <w:noProof/>
          <w:sz w:val="24"/>
        </w:rPr>
        <w:t xml:space="preserve"> Tegelijkertijd worden inhoudelijke aspecten van het wettelijkheidsvereiste onder verwijzing naar de </w:t>
      </w:r>
      <w:r w:rsidRPr="00B37ED6">
        <w:rPr>
          <w:rFonts w:ascii="Times New Roman" w:hAnsi="Times New Roman"/>
          <w:i/>
          <w:iCs/>
          <w:noProof/>
          <w:sz w:val="24"/>
        </w:rPr>
        <w:t>rule of law</w:t>
      </w:r>
      <w:r w:rsidRPr="00B37ED6">
        <w:rPr>
          <w:rFonts w:ascii="Times New Roman" w:hAnsi="Times New Roman"/>
          <w:noProof/>
          <w:sz w:val="24"/>
        </w:rPr>
        <w:t xml:space="preserve"> niet</w:t>
      </w:r>
      <w:r w:rsidR="007249B6">
        <w:rPr>
          <w:rFonts w:ascii="Times New Roman" w:hAnsi="Times New Roman"/>
          <w:noProof/>
          <w:sz w:val="24"/>
        </w:rPr>
        <w:t xml:space="preserve"> altijd </w:t>
      </w:r>
      <w:r w:rsidRPr="00B37ED6">
        <w:rPr>
          <w:rFonts w:ascii="Times New Roman" w:hAnsi="Times New Roman"/>
          <w:noProof/>
          <w:sz w:val="24"/>
        </w:rPr>
        <w:t>consistent uitgewerkt.</w:t>
      </w:r>
      <w:r w:rsidRPr="00B37ED6">
        <w:rPr>
          <w:rStyle w:val="FootnoteReference"/>
          <w:rFonts w:ascii="Times New Roman" w:hAnsi="Times New Roman"/>
          <w:noProof/>
          <w:sz w:val="24"/>
        </w:rPr>
        <w:footnoteReference w:id="29"/>
      </w:r>
      <w:r w:rsidRPr="00B37ED6">
        <w:rPr>
          <w:rFonts w:ascii="Times New Roman" w:hAnsi="Times New Roman"/>
          <w:noProof/>
          <w:sz w:val="24"/>
        </w:rPr>
        <w:t xml:space="preserve"> </w:t>
      </w:r>
    </w:p>
    <w:p w14:paraId="3823B8B8" w14:textId="77777777" w:rsidR="00B37ED6" w:rsidRPr="00B37ED6" w:rsidRDefault="00B37ED6" w:rsidP="00B37ED6">
      <w:pPr>
        <w:rPr>
          <w:rFonts w:ascii="Times New Roman" w:hAnsi="Times New Roman"/>
          <w:noProof/>
          <w:sz w:val="24"/>
        </w:rPr>
      </w:pPr>
    </w:p>
    <w:p w14:paraId="4D722C08"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Het vereiste van evenredigheid of proportionaliteit speelt volgens het HvJ EU een centrale rol waar het gaat om het vaststellen van de toelaatbaarheid van grondrechtenbeperkingen. Nadat is vastgesteld of sprake is van een doelstelling die in overeenstemming is met de daaraan volgens artikel 52, eerste lid, Handvest te stellen eisen, zal het HvJ EU onderzoeken of de beperking van het grondrecht noodzakelijk was en of er dus geen minder vergaande mogelijkheden waren om dat doel te bereiken. Daarnaast moet sprake zijn van een redelijk evenwicht tussen belangen. </w:t>
      </w:r>
    </w:p>
    <w:p w14:paraId="301009CC" w14:textId="77777777" w:rsidR="00B37ED6" w:rsidRPr="00B37ED6" w:rsidRDefault="00B37ED6" w:rsidP="00B37ED6">
      <w:pPr>
        <w:rPr>
          <w:rFonts w:ascii="Times New Roman" w:hAnsi="Times New Roman"/>
          <w:noProof/>
          <w:sz w:val="24"/>
        </w:rPr>
      </w:pPr>
    </w:p>
    <w:p w14:paraId="7254973F"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De beoordeling van de vraag of het wezen van het recht onaangetast is gebleven, kan niet altijd los worden gezien van de hiervoor genoemde proportionaliteitstoets. Zo kan het zijn dat een beperking disproportioneel wordt geacht omdat het wezen van een recht is geraakt of wordt de kern van een recht zichtbaar waar wordt geoordeeld dat beperkingen niet langer proportioneel zijn. Omgekeerd volgt uit de rechtspraak dat op het moment dat wordt vastgesteld dat een beperking niet de kern van een grondrecht raakt, er vervolgens nog steeds ruimte kan zijn voor een proportionaliteitstoets.</w:t>
      </w:r>
      <w:r w:rsidRPr="00B37ED6">
        <w:rPr>
          <w:rStyle w:val="FootnoteReference"/>
          <w:rFonts w:ascii="Times New Roman" w:hAnsi="Times New Roman"/>
          <w:noProof/>
          <w:sz w:val="24"/>
        </w:rPr>
        <w:footnoteReference w:id="30"/>
      </w:r>
      <w:r w:rsidRPr="00B37ED6">
        <w:rPr>
          <w:rFonts w:ascii="Times New Roman" w:hAnsi="Times New Roman"/>
          <w:noProof/>
          <w:sz w:val="24"/>
        </w:rPr>
        <w:t xml:space="preserve"> </w:t>
      </w:r>
    </w:p>
    <w:p w14:paraId="323B384F" w14:textId="77777777" w:rsidR="00B37ED6" w:rsidRPr="00B37ED6" w:rsidRDefault="00B37ED6" w:rsidP="00B37ED6">
      <w:pPr>
        <w:rPr>
          <w:rFonts w:ascii="Times New Roman" w:hAnsi="Times New Roman"/>
          <w:noProof/>
          <w:sz w:val="24"/>
        </w:rPr>
      </w:pPr>
    </w:p>
    <w:p w14:paraId="24EC023F" w14:textId="6EC7A666" w:rsidR="00B37ED6" w:rsidRPr="00B37ED6" w:rsidRDefault="00B37ED6" w:rsidP="00B37ED6">
      <w:pPr>
        <w:rPr>
          <w:rFonts w:ascii="Times New Roman" w:hAnsi="Times New Roman"/>
          <w:noProof/>
          <w:sz w:val="24"/>
        </w:rPr>
      </w:pPr>
      <w:r w:rsidRPr="00B37ED6">
        <w:rPr>
          <w:rFonts w:ascii="Times New Roman" w:hAnsi="Times New Roman"/>
          <w:noProof/>
          <w:sz w:val="24"/>
        </w:rPr>
        <w:t>Het samenspel tussen de vraag naar evenredigheid/proportionaliteit en kernrechtbescherming is van belang waar het gaat om het beoordelen van de toelaatbaarheid van grondrechtenbeperkingen. Zo blijkt uit het bovenstaande al dat een afweging tussen belangen en de vraag of een beperking van een grondrecht ‘te ver’ gaat, mede kan worden gemaakt door te kijken naar de kern van het betreffende recht. In de literatuur wordt bovendien regelmatig de kritiek geuit dat wanneer het algemeen belang en de bijbehorende doelen maar zwaarwegend genoeg zijn, bij een belangenafweging van het grondrecht niets kan overblijven.</w:t>
      </w:r>
      <w:r w:rsidR="008B285A">
        <w:rPr>
          <w:rStyle w:val="FootnoteReference"/>
          <w:rFonts w:ascii="Times New Roman" w:hAnsi="Times New Roman"/>
          <w:noProof/>
          <w:sz w:val="24"/>
        </w:rPr>
        <w:footnoteReference w:id="31"/>
      </w:r>
      <w:r w:rsidRPr="00B37ED6">
        <w:rPr>
          <w:rFonts w:ascii="Times New Roman" w:hAnsi="Times New Roman"/>
          <w:noProof/>
          <w:sz w:val="24"/>
        </w:rPr>
        <w:t xml:space="preserve"> Het is om die reden dat het de voorkeur heeft om niet zozeer het eigenlijke proportionaliteitsvereiste in strikte zin op te nemen in de algemene beperkingsclausule, maar in plaats daarvan kernrechtbescherming te garanderen. Een kernrechtbepaling biedt meer inhoud en kan ervoor zorgen dat steeds het wezenlijke deel van het grondrecht intact blijft. </w:t>
      </w:r>
    </w:p>
    <w:p w14:paraId="0D1EF2AC" w14:textId="77777777" w:rsidR="00B37ED6" w:rsidRPr="00B37ED6" w:rsidRDefault="00B37ED6" w:rsidP="00B37ED6">
      <w:pPr>
        <w:rPr>
          <w:rFonts w:ascii="Times New Roman" w:hAnsi="Times New Roman"/>
          <w:noProof/>
          <w:sz w:val="24"/>
        </w:rPr>
      </w:pPr>
    </w:p>
    <w:p w14:paraId="77506468"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Gelet op het belang van een kernrechtbepaling en gelet op de centrale rol van kernrechtbescherming in het onderhavige voorstel, wordt hieraan afzonderlijk aandacht besteed in paragraaf 6.  </w:t>
      </w:r>
    </w:p>
    <w:p w14:paraId="6228E543" w14:textId="77777777" w:rsidR="00B37ED6" w:rsidRPr="00B37ED6" w:rsidRDefault="00B37ED6" w:rsidP="00B37ED6">
      <w:pPr>
        <w:rPr>
          <w:rFonts w:ascii="Times New Roman" w:hAnsi="Times New Roman"/>
          <w:noProof/>
          <w:sz w:val="24"/>
        </w:rPr>
      </w:pPr>
    </w:p>
    <w:p w14:paraId="55F0225D" w14:textId="77777777" w:rsidR="00B37ED6" w:rsidRPr="00B37ED6" w:rsidRDefault="00B37ED6" w:rsidP="00B37ED6">
      <w:pPr>
        <w:rPr>
          <w:rFonts w:ascii="Times New Roman" w:hAnsi="Times New Roman"/>
          <w:b/>
          <w:iCs/>
          <w:noProof/>
          <w:sz w:val="24"/>
        </w:rPr>
      </w:pPr>
      <w:r w:rsidRPr="00B37ED6">
        <w:rPr>
          <w:rFonts w:ascii="Times New Roman" w:hAnsi="Times New Roman"/>
          <w:b/>
          <w:iCs/>
          <w:noProof/>
          <w:sz w:val="24"/>
        </w:rPr>
        <w:t xml:space="preserve">6. De kern van grondrechten </w:t>
      </w:r>
    </w:p>
    <w:p w14:paraId="7863409E" w14:textId="77777777" w:rsidR="00B37ED6" w:rsidRPr="00B37ED6" w:rsidRDefault="00B37ED6" w:rsidP="00B37ED6">
      <w:pPr>
        <w:rPr>
          <w:rFonts w:ascii="Times New Roman" w:hAnsi="Times New Roman"/>
          <w:noProof/>
          <w:sz w:val="24"/>
        </w:rPr>
      </w:pPr>
    </w:p>
    <w:p w14:paraId="12B2F0C0"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Het vereiste van bescherming van het wezen of de kern van grondrechten is minder bekend dan het vereiste van proportionaliteit of evenredigheid. De idee van kernrechtbescherming is afkomstig uit het Duitse constitutionele recht en als zodanig in het Duitse </w:t>
      </w:r>
      <w:r w:rsidRPr="00B37ED6">
        <w:rPr>
          <w:rFonts w:ascii="Times New Roman" w:hAnsi="Times New Roman"/>
          <w:i/>
          <w:iCs/>
          <w:noProof/>
          <w:sz w:val="24"/>
        </w:rPr>
        <w:t>Grundgesetz</w:t>
      </w:r>
      <w:r w:rsidRPr="00B37ED6">
        <w:rPr>
          <w:rFonts w:ascii="Times New Roman" w:hAnsi="Times New Roman"/>
          <w:noProof/>
          <w:sz w:val="24"/>
        </w:rPr>
        <w:t xml:space="preserve"> opgenomen: ‘In keinem Falle darf ein Grundrecht in seinem Wesensgehalt angetastet werden’ (artikel 19, tweede lid, Grundgesetz). Uit de rechtspraak en rechtswetenschappelijke literatuur volgt dat deze bepaling niet meebrengt dat de kern van een grondrecht </w:t>
      </w:r>
      <w:r w:rsidRPr="00B37ED6">
        <w:rPr>
          <w:rFonts w:ascii="Times New Roman" w:hAnsi="Times New Roman"/>
          <w:i/>
          <w:iCs/>
          <w:noProof/>
          <w:sz w:val="24"/>
        </w:rPr>
        <w:t>in abstracto</w:t>
      </w:r>
      <w:r w:rsidRPr="00B37ED6">
        <w:rPr>
          <w:rFonts w:ascii="Times New Roman" w:hAnsi="Times New Roman"/>
          <w:noProof/>
          <w:sz w:val="24"/>
        </w:rPr>
        <w:t xml:space="preserve"> en voor altijd kan worden bepaald. Dit gebeurt in plaats daarvan aan de hand van de concrete situatie waarin het recht wordt beperkt.</w:t>
      </w:r>
      <w:r w:rsidRPr="00B37ED6">
        <w:rPr>
          <w:rStyle w:val="FootnoteReference"/>
          <w:rFonts w:ascii="Times New Roman" w:hAnsi="Times New Roman"/>
          <w:noProof/>
          <w:sz w:val="24"/>
        </w:rPr>
        <w:footnoteReference w:id="32"/>
      </w:r>
      <w:r w:rsidRPr="00B37ED6">
        <w:rPr>
          <w:rFonts w:ascii="Times New Roman" w:hAnsi="Times New Roman"/>
          <w:noProof/>
          <w:sz w:val="24"/>
        </w:rPr>
        <w:t xml:space="preserve"> </w:t>
      </w:r>
    </w:p>
    <w:p w14:paraId="75CAB942" w14:textId="77777777" w:rsidR="00B37ED6" w:rsidRPr="00B37ED6" w:rsidRDefault="00B37ED6" w:rsidP="00B37ED6">
      <w:pPr>
        <w:rPr>
          <w:rFonts w:ascii="Times New Roman" w:hAnsi="Times New Roman"/>
          <w:noProof/>
          <w:sz w:val="24"/>
        </w:rPr>
      </w:pPr>
    </w:p>
    <w:p w14:paraId="7D320C10"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Bij de concrete duiding van de inhoud van de kern van grondrechten kan worden aangesloten bij het karakter en de functie van het betreffende recht. Van cruciaal belang in de Duitse doctrine is daarbij de menselijke waardigheid; een beperking die daaraan raakt kan worden gezien als rakend aan de kern van het grondrecht. Ook kan bij de definitie van de kern gebruik worden gemaakt van rechtsvergelijkende inzichten, zoals volgend uit de codificatie van bepaalde grondrechten of </w:t>
      </w:r>
      <w:r w:rsidRPr="00B37ED6">
        <w:rPr>
          <w:rFonts w:ascii="Times New Roman" w:hAnsi="Times New Roman"/>
          <w:i/>
          <w:iCs/>
          <w:noProof/>
          <w:sz w:val="24"/>
        </w:rPr>
        <w:t>jus cogens</w:t>
      </w:r>
      <w:r w:rsidRPr="00B37ED6">
        <w:rPr>
          <w:rFonts w:ascii="Times New Roman" w:hAnsi="Times New Roman"/>
          <w:noProof/>
          <w:sz w:val="24"/>
        </w:rPr>
        <w:t>.</w:t>
      </w:r>
      <w:r w:rsidRPr="00B37ED6">
        <w:rPr>
          <w:rStyle w:val="FootnoteReference"/>
          <w:rFonts w:ascii="Times New Roman" w:hAnsi="Times New Roman"/>
          <w:noProof/>
          <w:sz w:val="24"/>
        </w:rPr>
        <w:footnoteReference w:id="33"/>
      </w:r>
      <w:r w:rsidRPr="00B37ED6">
        <w:rPr>
          <w:rFonts w:ascii="Times New Roman" w:hAnsi="Times New Roman"/>
          <w:noProof/>
          <w:sz w:val="24"/>
        </w:rPr>
        <w:t xml:space="preserve"> </w:t>
      </w:r>
    </w:p>
    <w:p w14:paraId="0405C205" w14:textId="77777777" w:rsidR="00B37ED6" w:rsidRPr="00B37ED6" w:rsidRDefault="00B37ED6" w:rsidP="00B37ED6">
      <w:pPr>
        <w:rPr>
          <w:rFonts w:ascii="Times New Roman" w:hAnsi="Times New Roman"/>
          <w:noProof/>
          <w:sz w:val="24"/>
        </w:rPr>
      </w:pPr>
    </w:p>
    <w:p w14:paraId="6BF0E533"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Kernrechtbescherming is ook in andere jurisdicties en juridische contexten te vinden. Zo wordt bij de verwezenlijking van economische en sociale grondrechten zoals die zijn verankerd in het Internationaal Verdrag inzake Economische, Sociale en Culturele Rechten (IVESCR) verwezen naar de notie van een ‘minimum core’. Waar het gaat om rechten die niet steeds vanaf het begin volledig verwezenlijkt kunnen worden, zoals sociale en economice grondrechten, helpt het formuleren van </w:t>
      </w:r>
      <w:r w:rsidRPr="00B37ED6">
        <w:rPr>
          <w:rFonts w:ascii="Times New Roman" w:hAnsi="Times New Roman"/>
          <w:i/>
          <w:iCs/>
          <w:noProof/>
          <w:sz w:val="24"/>
        </w:rPr>
        <w:t xml:space="preserve">minimum core obligations </w:t>
      </w:r>
      <w:r w:rsidRPr="00B37ED6">
        <w:rPr>
          <w:rFonts w:ascii="Times New Roman" w:hAnsi="Times New Roman"/>
          <w:noProof/>
          <w:sz w:val="24"/>
        </w:rPr>
        <w:t xml:space="preserve">het duiden van belangrijke aspecten die hoe dan ook en onmiddellijke bescherming verdienen. Naar analogie kan de idee van kernrechtbescherming zo ook een toepassing vinden in de context van positieve verplichtingen en het beschermen van de in de Nederlandse grondwet neergelegde sociale grondrechten.  </w:t>
      </w:r>
    </w:p>
    <w:p w14:paraId="1395B5E3" w14:textId="77777777" w:rsidR="00B37ED6" w:rsidRPr="00B37ED6" w:rsidRDefault="00B37ED6" w:rsidP="00B37ED6">
      <w:pPr>
        <w:rPr>
          <w:rFonts w:ascii="Times New Roman" w:hAnsi="Times New Roman"/>
          <w:noProof/>
          <w:sz w:val="24"/>
        </w:rPr>
      </w:pPr>
    </w:p>
    <w:p w14:paraId="716F8FB7" w14:textId="7B2AD273" w:rsidR="00B37ED6" w:rsidRPr="00B37ED6" w:rsidRDefault="004121B8" w:rsidP="00B37ED6">
      <w:pPr>
        <w:rPr>
          <w:rFonts w:ascii="Times New Roman" w:hAnsi="Times New Roman"/>
          <w:noProof/>
          <w:sz w:val="24"/>
        </w:rPr>
      </w:pPr>
      <w:r>
        <w:rPr>
          <w:rFonts w:ascii="Times New Roman" w:hAnsi="Times New Roman"/>
          <w:noProof/>
          <w:sz w:val="24"/>
        </w:rPr>
        <w:t>Tot slot geldt dat er</w:t>
      </w:r>
      <w:r w:rsidR="00B37ED6" w:rsidRPr="00B37ED6">
        <w:rPr>
          <w:rFonts w:ascii="Times New Roman" w:hAnsi="Times New Roman"/>
          <w:noProof/>
          <w:sz w:val="24"/>
        </w:rPr>
        <w:t xml:space="preserve"> in het Nederlandse constitutionele bestel </w:t>
      </w:r>
      <w:r>
        <w:rPr>
          <w:rFonts w:ascii="Times New Roman" w:hAnsi="Times New Roman"/>
          <w:noProof/>
          <w:sz w:val="24"/>
        </w:rPr>
        <w:t>ruim voldoende mogelijkheden zijn</w:t>
      </w:r>
      <w:r w:rsidR="00B37ED6" w:rsidRPr="00B37ED6">
        <w:rPr>
          <w:rFonts w:ascii="Times New Roman" w:hAnsi="Times New Roman"/>
          <w:noProof/>
          <w:sz w:val="24"/>
        </w:rPr>
        <w:t xml:space="preserve"> voor het identificeren van de wezenlijke kern van de in de Grondwet opgenomen grondrechten. Ten eerste zijn die te vinden in de jarenlange interpretatie en gestalte zoals die door de wetgever en in mindere mate door de rechter is gegeven aan de verschillende grondrechten. Daarnaast kunnen de waarden die onderliggend zijn aan ons constitutionele bestel hierbij als uitgangspunt dienen.</w:t>
      </w:r>
    </w:p>
    <w:p w14:paraId="535164FF" w14:textId="77777777" w:rsidR="00B37ED6" w:rsidRPr="00B37ED6" w:rsidRDefault="00B37ED6" w:rsidP="00B37ED6">
      <w:pPr>
        <w:rPr>
          <w:rFonts w:ascii="Times New Roman" w:hAnsi="Times New Roman"/>
          <w:noProof/>
          <w:sz w:val="24"/>
        </w:rPr>
      </w:pPr>
    </w:p>
    <w:p w14:paraId="749C7602" w14:textId="3BF9502C" w:rsidR="00B37ED6" w:rsidRPr="00B37ED6" w:rsidRDefault="006244C1" w:rsidP="00B37ED6">
      <w:pPr>
        <w:rPr>
          <w:rFonts w:ascii="Times New Roman" w:hAnsi="Times New Roman"/>
          <w:b/>
          <w:noProof/>
          <w:sz w:val="24"/>
        </w:rPr>
      </w:pPr>
      <w:r>
        <w:rPr>
          <w:rFonts w:ascii="Times New Roman" w:hAnsi="Times New Roman"/>
          <w:b/>
          <w:noProof/>
          <w:sz w:val="24"/>
        </w:rPr>
        <w:t>7</w:t>
      </w:r>
      <w:r w:rsidR="00B37ED6" w:rsidRPr="00B37ED6">
        <w:rPr>
          <w:rFonts w:ascii="Times New Roman" w:hAnsi="Times New Roman"/>
          <w:b/>
          <w:noProof/>
          <w:sz w:val="24"/>
        </w:rPr>
        <w:t>. Hoger recht en verhouding tot andere wetgeving</w:t>
      </w:r>
    </w:p>
    <w:p w14:paraId="31680FBB" w14:textId="77777777" w:rsidR="00B37ED6" w:rsidRPr="00B37ED6" w:rsidRDefault="00B37ED6" w:rsidP="00B37ED6">
      <w:pPr>
        <w:ind w:left="720"/>
        <w:rPr>
          <w:rFonts w:ascii="Times New Roman" w:hAnsi="Times New Roman"/>
          <w:noProof/>
          <w:sz w:val="24"/>
        </w:rPr>
      </w:pPr>
    </w:p>
    <w:p w14:paraId="00304D15" w14:textId="757FF42A" w:rsidR="00920D25" w:rsidRDefault="006244C1" w:rsidP="00B37ED6">
      <w:pPr>
        <w:rPr>
          <w:rFonts w:ascii="Times New Roman" w:hAnsi="Times New Roman"/>
          <w:noProof/>
          <w:sz w:val="24"/>
        </w:rPr>
      </w:pPr>
      <w:r>
        <w:rPr>
          <w:rFonts w:ascii="Times New Roman" w:hAnsi="Times New Roman"/>
          <w:noProof/>
          <w:sz w:val="24"/>
        </w:rPr>
        <w:t>In paragraaf 5 is reeds uitvoerig ingegaan op de verhouding tussen het Europese recht en de Grondwet</w:t>
      </w:r>
      <w:r w:rsidR="00B37ED6" w:rsidRPr="00B37ED6">
        <w:rPr>
          <w:rFonts w:ascii="Times New Roman" w:hAnsi="Times New Roman"/>
          <w:noProof/>
          <w:sz w:val="24"/>
        </w:rPr>
        <w:t>. Ook op de verhouding tot andere wetgeving is in de voorafgaande paragrafen ingegaan.</w:t>
      </w:r>
      <w:r>
        <w:rPr>
          <w:rFonts w:ascii="Times New Roman" w:hAnsi="Times New Roman"/>
          <w:noProof/>
          <w:sz w:val="24"/>
        </w:rPr>
        <w:t xml:space="preserve"> </w:t>
      </w:r>
    </w:p>
    <w:p w14:paraId="5809D16E" w14:textId="77777777" w:rsidR="00920D25" w:rsidRDefault="00920D25" w:rsidP="00B37ED6">
      <w:pPr>
        <w:rPr>
          <w:rFonts w:ascii="Times New Roman" w:hAnsi="Times New Roman"/>
          <w:noProof/>
          <w:sz w:val="24"/>
        </w:rPr>
      </w:pPr>
    </w:p>
    <w:p w14:paraId="0BB448A6" w14:textId="77777777" w:rsidR="00B37ED6" w:rsidRPr="00B37ED6" w:rsidRDefault="006244C1" w:rsidP="00B37ED6">
      <w:pPr>
        <w:rPr>
          <w:rFonts w:ascii="Times New Roman" w:hAnsi="Times New Roman"/>
          <w:noProof/>
          <w:sz w:val="24"/>
        </w:rPr>
      </w:pPr>
      <w:r>
        <w:rPr>
          <w:rFonts w:ascii="Times New Roman" w:hAnsi="Times New Roman"/>
          <w:noProof/>
          <w:sz w:val="24"/>
        </w:rPr>
        <w:t xml:space="preserve">Het voorstel noodzaakt niet als zodanig tot aanpassingen in andere wetgeving, zoals lagere wetgeving waarin </w:t>
      </w:r>
      <w:r w:rsidR="00920D25">
        <w:rPr>
          <w:rFonts w:ascii="Times New Roman" w:hAnsi="Times New Roman"/>
          <w:noProof/>
          <w:sz w:val="24"/>
        </w:rPr>
        <w:t>de mogelijkheden van beperking van specifieke grondrechten verder zijn uitgewerkt, zoals de Algemene wet gelijke behandeling of de Europese en nationale regelgeving over het recht op gegevensbescherming. De algemene aanvullende beperkingsclausule laat door zijn formulering voldoende ruimte voor nadere specificatie via dergelijke wetgeving. Zo is het goed mogelijk dat in een wet voor een bepaald grondrecht – zoals het gelijkheidsbeginsel en verbod van discriminatie – de eisen van noodzakelijkheid en geschiktheid verder worden uitgewerkt. De voorgestelde grondwetsbepaling biedt daarbij vooral een extra waarborg, bijvoorbeeld doordat deze garandeert dat wettelijke specificaties ook zelf nooit de kern van een grondrecht mogen aantasten.</w:t>
      </w:r>
    </w:p>
    <w:p w14:paraId="1E53C872" w14:textId="77777777" w:rsidR="00B37ED6" w:rsidRPr="00B37ED6" w:rsidRDefault="00B37ED6" w:rsidP="00B37ED6">
      <w:pPr>
        <w:rPr>
          <w:rFonts w:ascii="Times New Roman" w:hAnsi="Times New Roman"/>
          <w:noProof/>
          <w:sz w:val="24"/>
        </w:rPr>
      </w:pPr>
    </w:p>
    <w:p w14:paraId="0F3D837A" w14:textId="48C6EF29" w:rsidR="00B37ED6" w:rsidRPr="00B37ED6" w:rsidRDefault="006244C1" w:rsidP="00B37ED6">
      <w:pPr>
        <w:rPr>
          <w:rFonts w:ascii="Times New Roman" w:hAnsi="Times New Roman"/>
          <w:noProof/>
          <w:sz w:val="24"/>
        </w:rPr>
      </w:pPr>
      <w:r>
        <w:rPr>
          <w:rFonts w:ascii="Times New Roman" w:hAnsi="Times New Roman"/>
          <w:b/>
          <w:bCs/>
          <w:noProof/>
          <w:sz w:val="24"/>
        </w:rPr>
        <w:t>8</w:t>
      </w:r>
      <w:r w:rsidR="00B37ED6" w:rsidRPr="00B37ED6">
        <w:rPr>
          <w:rFonts w:ascii="Times New Roman" w:hAnsi="Times New Roman"/>
          <w:b/>
          <w:bCs/>
          <w:noProof/>
          <w:sz w:val="24"/>
        </w:rPr>
        <w:t xml:space="preserve">. </w:t>
      </w:r>
      <w:r w:rsidR="00B37ED6" w:rsidRPr="00B37ED6">
        <w:rPr>
          <w:rFonts w:ascii="Times New Roman" w:hAnsi="Times New Roman"/>
          <w:b/>
          <w:noProof/>
          <w:sz w:val="24"/>
        </w:rPr>
        <w:t>Effecten</w:t>
      </w:r>
    </w:p>
    <w:p w14:paraId="45E98C6D" w14:textId="77777777" w:rsidR="00B37ED6" w:rsidRPr="00B37ED6" w:rsidRDefault="00B37ED6" w:rsidP="00B37ED6">
      <w:pPr>
        <w:rPr>
          <w:rFonts w:ascii="Times New Roman" w:hAnsi="Times New Roman"/>
          <w:noProof/>
          <w:sz w:val="24"/>
        </w:rPr>
      </w:pPr>
    </w:p>
    <w:p w14:paraId="2BBD18C7"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De voorgestelde bepaling zal een positief en versterkend effect hebben op de grondrechtenbescherming. Daarnaast is in het voorgaande reeds toegelicht dat de bepaling de normatieve werking van de Grondwet zal versterken en daarmee een beter richtsnoer kan bieden aan zowel wetgever als </w:t>
      </w:r>
      <w:r w:rsidR="00920D25">
        <w:rPr>
          <w:rFonts w:ascii="Times New Roman" w:hAnsi="Times New Roman"/>
          <w:noProof/>
          <w:sz w:val="24"/>
        </w:rPr>
        <w:t xml:space="preserve">– in de toekomst – de </w:t>
      </w:r>
      <w:r w:rsidRPr="00B37ED6">
        <w:rPr>
          <w:rFonts w:ascii="Times New Roman" w:hAnsi="Times New Roman"/>
          <w:noProof/>
          <w:sz w:val="24"/>
        </w:rPr>
        <w:t>rechter waar het gaat om de beperking van grondrechten. Daarnaast levert de bepaling een verduidelijking en noodzakelijke modernisering op van de Grondwet, die hiermee nog beter bruikbaar wordt voor de toekomst.</w:t>
      </w:r>
    </w:p>
    <w:p w14:paraId="106C4258" w14:textId="77777777" w:rsidR="00B37ED6" w:rsidRPr="00B37ED6" w:rsidRDefault="00B37ED6" w:rsidP="00B37ED6">
      <w:pPr>
        <w:rPr>
          <w:rFonts w:ascii="Times New Roman" w:hAnsi="Times New Roman"/>
          <w:noProof/>
          <w:sz w:val="24"/>
        </w:rPr>
      </w:pPr>
    </w:p>
    <w:p w14:paraId="2439D85A" w14:textId="12D1D422" w:rsidR="00B37ED6" w:rsidRPr="00B37ED6" w:rsidRDefault="00920D25" w:rsidP="00B37ED6">
      <w:pPr>
        <w:rPr>
          <w:rFonts w:ascii="Times New Roman" w:hAnsi="Times New Roman"/>
          <w:noProof/>
          <w:sz w:val="24"/>
        </w:rPr>
      </w:pPr>
      <w:r>
        <w:rPr>
          <w:rFonts w:ascii="Times New Roman" w:hAnsi="Times New Roman"/>
          <w:b/>
          <w:bCs/>
          <w:noProof/>
          <w:sz w:val="24"/>
        </w:rPr>
        <w:t>9</w:t>
      </w:r>
      <w:r w:rsidR="00B37ED6" w:rsidRPr="00B37ED6">
        <w:rPr>
          <w:rFonts w:ascii="Times New Roman" w:hAnsi="Times New Roman"/>
          <w:b/>
          <w:bCs/>
          <w:noProof/>
          <w:sz w:val="24"/>
        </w:rPr>
        <w:t xml:space="preserve">. </w:t>
      </w:r>
      <w:r w:rsidR="00B37ED6" w:rsidRPr="00B37ED6">
        <w:rPr>
          <w:rFonts w:ascii="Times New Roman" w:hAnsi="Times New Roman"/>
          <w:b/>
          <w:noProof/>
          <w:sz w:val="24"/>
        </w:rPr>
        <w:t>Uitvoeringsaspecten, toezicht en handhaving</w:t>
      </w:r>
    </w:p>
    <w:p w14:paraId="5A2DB8E1" w14:textId="77777777" w:rsidR="00B37ED6" w:rsidRPr="00B37ED6" w:rsidRDefault="00B37ED6" w:rsidP="00B37ED6">
      <w:pPr>
        <w:rPr>
          <w:rFonts w:ascii="Times New Roman" w:hAnsi="Times New Roman"/>
          <w:noProof/>
          <w:sz w:val="24"/>
        </w:rPr>
      </w:pPr>
    </w:p>
    <w:p w14:paraId="271A74D2"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Aan de voorgestelde bepaling kleven geen bijzondere uitvoeringsaspecten. Ook zijn er geen verwachte gevolgen voor toezicht en handhaving.</w:t>
      </w:r>
    </w:p>
    <w:p w14:paraId="3D00510A" w14:textId="77777777" w:rsidR="00B37ED6" w:rsidRPr="00B37ED6" w:rsidRDefault="00B37ED6" w:rsidP="00B37ED6">
      <w:pPr>
        <w:rPr>
          <w:rFonts w:ascii="Times New Roman" w:hAnsi="Times New Roman"/>
          <w:noProof/>
          <w:sz w:val="24"/>
        </w:rPr>
      </w:pPr>
    </w:p>
    <w:p w14:paraId="5031C1AD" w14:textId="16C3E6D5" w:rsidR="00B37ED6" w:rsidRPr="00B37ED6" w:rsidRDefault="00231FB8" w:rsidP="00B37ED6">
      <w:pPr>
        <w:rPr>
          <w:rFonts w:ascii="Times New Roman" w:hAnsi="Times New Roman"/>
          <w:b/>
          <w:noProof/>
          <w:sz w:val="24"/>
        </w:rPr>
      </w:pPr>
      <w:r>
        <w:rPr>
          <w:rFonts w:ascii="Times New Roman" w:hAnsi="Times New Roman"/>
          <w:b/>
          <w:bCs/>
          <w:noProof/>
          <w:sz w:val="24"/>
        </w:rPr>
        <w:t>10</w:t>
      </w:r>
      <w:r w:rsidR="00B37ED6" w:rsidRPr="00B37ED6">
        <w:rPr>
          <w:rFonts w:ascii="Times New Roman" w:hAnsi="Times New Roman"/>
          <w:b/>
          <w:bCs/>
          <w:noProof/>
          <w:sz w:val="24"/>
        </w:rPr>
        <w:t xml:space="preserve">. </w:t>
      </w:r>
      <w:r w:rsidR="00A74F55">
        <w:rPr>
          <w:rFonts w:ascii="Times New Roman" w:hAnsi="Times New Roman"/>
          <w:b/>
          <w:noProof/>
          <w:sz w:val="24"/>
        </w:rPr>
        <w:t>Fi</w:t>
      </w:r>
      <w:r w:rsidR="00E455A5">
        <w:rPr>
          <w:rFonts w:ascii="Times New Roman" w:hAnsi="Times New Roman"/>
          <w:b/>
          <w:noProof/>
          <w:sz w:val="24"/>
        </w:rPr>
        <w:t>n</w:t>
      </w:r>
      <w:r w:rsidR="00A74F55">
        <w:rPr>
          <w:rFonts w:ascii="Times New Roman" w:hAnsi="Times New Roman"/>
          <w:b/>
          <w:noProof/>
          <w:sz w:val="24"/>
        </w:rPr>
        <w:t>anciële</w:t>
      </w:r>
      <w:r w:rsidR="00A74F55" w:rsidRPr="00B37ED6">
        <w:rPr>
          <w:rFonts w:ascii="Times New Roman" w:hAnsi="Times New Roman"/>
          <w:b/>
          <w:noProof/>
          <w:sz w:val="24"/>
        </w:rPr>
        <w:t xml:space="preserve"> </w:t>
      </w:r>
      <w:r w:rsidR="00B37ED6" w:rsidRPr="00B37ED6">
        <w:rPr>
          <w:rFonts w:ascii="Times New Roman" w:hAnsi="Times New Roman"/>
          <w:b/>
          <w:noProof/>
          <w:sz w:val="24"/>
        </w:rPr>
        <w:t>gevolgen</w:t>
      </w:r>
    </w:p>
    <w:p w14:paraId="1FDFE9E8" w14:textId="77777777" w:rsidR="00B37ED6" w:rsidRPr="00B37ED6" w:rsidRDefault="00B37ED6" w:rsidP="00B37ED6">
      <w:pPr>
        <w:rPr>
          <w:rFonts w:ascii="Times New Roman" w:hAnsi="Times New Roman"/>
          <w:noProof/>
          <w:sz w:val="24"/>
        </w:rPr>
      </w:pPr>
    </w:p>
    <w:p w14:paraId="6C1D3DDF"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 xml:space="preserve">De voorgestelde bepaling heeft naar verwachting geen </w:t>
      </w:r>
      <w:r w:rsidR="00A74F55">
        <w:rPr>
          <w:rFonts w:ascii="Times New Roman" w:hAnsi="Times New Roman"/>
          <w:noProof/>
          <w:sz w:val="24"/>
        </w:rPr>
        <w:t>financiële</w:t>
      </w:r>
      <w:r w:rsidR="00A74F55" w:rsidRPr="00B37ED6">
        <w:rPr>
          <w:rFonts w:ascii="Times New Roman" w:hAnsi="Times New Roman"/>
          <w:noProof/>
          <w:sz w:val="24"/>
        </w:rPr>
        <w:t xml:space="preserve"> </w:t>
      </w:r>
      <w:r w:rsidRPr="00B37ED6">
        <w:rPr>
          <w:rFonts w:ascii="Times New Roman" w:hAnsi="Times New Roman"/>
          <w:noProof/>
          <w:sz w:val="24"/>
        </w:rPr>
        <w:t>gevolgen.</w:t>
      </w:r>
    </w:p>
    <w:p w14:paraId="38DB96FD" w14:textId="77777777" w:rsidR="00B37ED6" w:rsidRPr="00B37ED6" w:rsidRDefault="00B37ED6" w:rsidP="00B37ED6">
      <w:pPr>
        <w:rPr>
          <w:rFonts w:ascii="Times New Roman" w:hAnsi="Times New Roman"/>
          <w:noProof/>
          <w:sz w:val="24"/>
        </w:rPr>
      </w:pPr>
    </w:p>
    <w:p w14:paraId="5B3C2EDE" w14:textId="77777777" w:rsidR="00B37ED6" w:rsidRPr="00B37ED6" w:rsidRDefault="00B37ED6" w:rsidP="00B37ED6">
      <w:pPr>
        <w:rPr>
          <w:rFonts w:ascii="Times New Roman" w:hAnsi="Times New Roman"/>
          <w:noProof/>
          <w:sz w:val="24"/>
        </w:rPr>
      </w:pPr>
      <w:r w:rsidRPr="00B37ED6">
        <w:rPr>
          <w:rFonts w:ascii="Times New Roman" w:hAnsi="Times New Roman"/>
          <w:b/>
          <w:bCs/>
          <w:noProof/>
          <w:sz w:val="24"/>
        </w:rPr>
        <w:t xml:space="preserve">12. </w:t>
      </w:r>
      <w:r w:rsidRPr="00B37ED6">
        <w:rPr>
          <w:rFonts w:ascii="Times New Roman" w:hAnsi="Times New Roman"/>
          <w:b/>
          <w:noProof/>
          <w:sz w:val="24"/>
        </w:rPr>
        <w:t>Evaluatie</w:t>
      </w:r>
    </w:p>
    <w:p w14:paraId="2EDED503" w14:textId="77777777" w:rsidR="00B37ED6" w:rsidRPr="00B37ED6" w:rsidRDefault="00B37ED6" w:rsidP="00B37ED6">
      <w:pPr>
        <w:rPr>
          <w:rFonts w:ascii="Times New Roman" w:hAnsi="Times New Roman"/>
          <w:noProof/>
          <w:sz w:val="24"/>
        </w:rPr>
      </w:pPr>
    </w:p>
    <w:p w14:paraId="359EB02D"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Er is geen evaluatie van de voorgestelde bepaling voorzien.</w:t>
      </w:r>
    </w:p>
    <w:p w14:paraId="23D99141" w14:textId="77777777" w:rsidR="00B37ED6" w:rsidRPr="00B37ED6" w:rsidRDefault="00B37ED6" w:rsidP="00B37ED6">
      <w:pPr>
        <w:rPr>
          <w:rFonts w:ascii="Times New Roman" w:hAnsi="Times New Roman"/>
          <w:noProof/>
          <w:sz w:val="24"/>
        </w:rPr>
      </w:pPr>
    </w:p>
    <w:p w14:paraId="6CA63B75" w14:textId="77777777" w:rsidR="00B37ED6" w:rsidRPr="00B37ED6" w:rsidRDefault="00B37ED6" w:rsidP="00B37ED6">
      <w:pPr>
        <w:rPr>
          <w:rFonts w:ascii="Times New Roman" w:hAnsi="Times New Roman"/>
          <w:noProof/>
          <w:sz w:val="24"/>
        </w:rPr>
      </w:pPr>
      <w:r w:rsidRPr="00B37ED6">
        <w:rPr>
          <w:rFonts w:ascii="Times New Roman" w:hAnsi="Times New Roman"/>
          <w:b/>
          <w:bCs/>
          <w:noProof/>
          <w:sz w:val="24"/>
        </w:rPr>
        <w:t>1</w:t>
      </w:r>
      <w:r w:rsidRPr="00B37ED6">
        <w:rPr>
          <w:rFonts w:ascii="Times New Roman" w:hAnsi="Times New Roman"/>
          <w:b/>
          <w:noProof/>
          <w:sz w:val="24"/>
        </w:rPr>
        <w:t>3. Advies en consultatie</w:t>
      </w:r>
    </w:p>
    <w:p w14:paraId="4043F755" w14:textId="77777777" w:rsidR="00B37ED6" w:rsidRPr="00B37ED6" w:rsidRDefault="00B37ED6" w:rsidP="00B37ED6">
      <w:pPr>
        <w:rPr>
          <w:rFonts w:ascii="Times New Roman" w:hAnsi="Times New Roman"/>
          <w:noProof/>
          <w:sz w:val="24"/>
        </w:rPr>
      </w:pPr>
    </w:p>
    <w:p w14:paraId="0A744D3A" w14:textId="77777777" w:rsidR="00B37ED6" w:rsidRPr="00B37ED6" w:rsidRDefault="00B37ED6" w:rsidP="00B37ED6">
      <w:pPr>
        <w:rPr>
          <w:rFonts w:ascii="Times New Roman" w:hAnsi="Times New Roman"/>
          <w:noProof/>
          <w:sz w:val="24"/>
        </w:rPr>
      </w:pPr>
      <w:r w:rsidRPr="00B37ED6">
        <w:rPr>
          <w:rFonts w:ascii="Times New Roman" w:hAnsi="Times New Roman"/>
          <w:noProof/>
          <w:sz w:val="24"/>
        </w:rPr>
        <w:t>Voor de voorgestelde bepaling zijn de gebruikelijke advies- en consultatieprocedures gevolgd. Daaruit zijn geen noemenswaardige inzichten naar voren gekomen.</w:t>
      </w:r>
    </w:p>
    <w:p w14:paraId="2AC35947" w14:textId="77777777" w:rsidR="00B37ED6" w:rsidRPr="00B37ED6" w:rsidRDefault="00B37ED6" w:rsidP="00B37ED6">
      <w:pPr>
        <w:rPr>
          <w:rFonts w:ascii="Times New Roman" w:hAnsi="Times New Roman"/>
          <w:noProof/>
          <w:sz w:val="24"/>
        </w:rPr>
      </w:pPr>
    </w:p>
    <w:p w14:paraId="2344BCE8" w14:textId="77777777" w:rsidR="00B37ED6" w:rsidRPr="00B37ED6" w:rsidRDefault="00B37ED6" w:rsidP="00B37ED6">
      <w:pPr>
        <w:rPr>
          <w:rFonts w:ascii="Times New Roman" w:hAnsi="Times New Roman"/>
          <w:noProof/>
          <w:sz w:val="24"/>
        </w:rPr>
      </w:pPr>
      <w:r w:rsidRPr="00B37ED6">
        <w:rPr>
          <w:rFonts w:ascii="Times New Roman" w:hAnsi="Times New Roman"/>
          <w:b/>
          <w:bCs/>
          <w:noProof/>
          <w:sz w:val="24"/>
        </w:rPr>
        <w:t xml:space="preserve">14. </w:t>
      </w:r>
      <w:r w:rsidRPr="00B37ED6">
        <w:rPr>
          <w:rFonts w:ascii="Times New Roman" w:hAnsi="Times New Roman"/>
          <w:b/>
          <w:noProof/>
          <w:sz w:val="24"/>
        </w:rPr>
        <w:t>Inwerkingtreding en overgangsrecht</w:t>
      </w:r>
    </w:p>
    <w:p w14:paraId="1F0FC808" w14:textId="77777777" w:rsidR="00B37ED6" w:rsidRPr="00B37ED6" w:rsidRDefault="00B37ED6" w:rsidP="00B37ED6">
      <w:pPr>
        <w:rPr>
          <w:rFonts w:ascii="Times New Roman" w:hAnsi="Times New Roman"/>
          <w:noProof/>
          <w:sz w:val="24"/>
        </w:rPr>
      </w:pPr>
    </w:p>
    <w:p w14:paraId="3B7993C7" w14:textId="77777777" w:rsidR="00B37ED6" w:rsidRDefault="00B37ED6" w:rsidP="00B37ED6">
      <w:pPr>
        <w:rPr>
          <w:rFonts w:ascii="Times New Roman" w:hAnsi="Times New Roman"/>
          <w:noProof/>
          <w:sz w:val="24"/>
        </w:rPr>
      </w:pPr>
      <w:r w:rsidRPr="00B37ED6">
        <w:rPr>
          <w:rFonts w:ascii="Times New Roman" w:hAnsi="Times New Roman"/>
          <w:noProof/>
          <w:sz w:val="24"/>
        </w:rPr>
        <w:t>Ten aanzien van de inwerkingtreding zijn er geen bijzonderheden. De gebruikelijke onmiddellijke inwerkingtreding is mogelijk. Overgangsrecht is hierbij niet noodzakelijk.</w:t>
      </w:r>
    </w:p>
    <w:p w14:paraId="42270DF6" w14:textId="77777777" w:rsidR="000B5CF0" w:rsidRDefault="000B5CF0" w:rsidP="00B37ED6">
      <w:pPr>
        <w:rPr>
          <w:rFonts w:ascii="Times New Roman" w:hAnsi="Times New Roman"/>
          <w:noProof/>
          <w:sz w:val="24"/>
        </w:rPr>
      </w:pPr>
    </w:p>
    <w:p w14:paraId="6F4F79F2" w14:textId="77777777" w:rsidR="000B5CF0" w:rsidRPr="0081697E" w:rsidRDefault="000B5CF0" w:rsidP="00B37ED6">
      <w:pPr>
        <w:rPr>
          <w:rFonts w:ascii="Times New Roman" w:hAnsi="Times New Roman"/>
          <w:b/>
          <w:noProof/>
          <w:sz w:val="24"/>
        </w:rPr>
      </w:pPr>
      <w:r>
        <w:rPr>
          <w:rFonts w:ascii="Times New Roman" w:hAnsi="Times New Roman"/>
          <w:b/>
          <w:noProof/>
          <w:sz w:val="24"/>
        </w:rPr>
        <w:t xml:space="preserve">II. </w:t>
      </w:r>
      <w:r w:rsidRPr="0081697E">
        <w:rPr>
          <w:rFonts w:ascii="Times New Roman" w:hAnsi="Times New Roman"/>
          <w:b/>
          <w:noProof/>
          <w:sz w:val="24"/>
        </w:rPr>
        <w:t>ARTIKELSGEWIJS</w:t>
      </w:r>
    </w:p>
    <w:p w14:paraId="5706221D" w14:textId="77777777" w:rsidR="00F707DE" w:rsidRDefault="00F707DE" w:rsidP="00B37ED6">
      <w:pPr>
        <w:tabs>
          <w:tab w:val="left" w:pos="284"/>
          <w:tab w:val="left" w:pos="567"/>
          <w:tab w:val="left" w:pos="851"/>
        </w:tabs>
        <w:ind w:right="139"/>
        <w:rPr>
          <w:rFonts w:ascii="Times New Roman" w:hAnsi="Times New Roman"/>
          <w:sz w:val="24"/>
          <w:szCs w:val="20"/>
        </w:rPr>
      </w:pPr>
    </w:p>
    <w:p w14:paraId="21578D47" w14:textId="77777777" w:rsidR="004121B8" w:rsidRDefault="004121B8" w:rsidP="004121B8">
      <w:pPr>
        <w:tabs>
          <w:tab w:val="left" w:pos="284"/>
          <w:tab w:val="left" w:pos="567"/>
          <w:tab w:val="left" w:pos="851"/>
        </w:tabs>
        <w:ind w:right="139"/>
        <w:rPr>
          <w:rFonts w:ascii="Times New Roman" w:hAnsi="Times New Roman"/>
          <w:sz w:val="24"/>
          <w:szCs w:val="20"/>
        </w:rPr>
      </w:pPr>
      <w:r w:rsidRPr="004121B8">
        <w:rPr>
          <w:rFonts w:ascii="Times New Roman" w:hAnsi="Times New Roman"/>
          <w:sz w:val="24"/>
          <w:szCs w:val="20"/>
        </w:rPr>
        <w:t xml:space="preserve">De voorgestelde clausule bevat </w:t>
      </w:r>
      <w:r>
        <w:rPr>
          <w:rFonts w:ascii="Times New Roman" w:hAnsi="Times New Roman"/>
          <w:sz w:val="24"/>
          <w:szCs w:val="20"/>
        </w:rPr>
        <w:t xml:space="preserve">in het eerste lid </w:t>
      </w:r>
      <w:r w:rsidRPr="004121B8">
        <w:rPr>
          <w:rFonts w:ascii="Times New Roman" w:hAnsi="Times New Roman"/>
          <w:sz w:val="24"/>
          <w:szCs w:val="20"/>
        </w:rPr>
        <w:t xml:space="preserve">een doel-middeltoets </w:t>
      </w:r>
      <w:r>
        <w:rPr>
          <w:rFonts w:ascii="Times New Roman" w:hAnsi="Times New Roman"/>
          <w:sz w:val="24"/>
          <w:szCs w:val="20"/>
        </w:rPr>
        <w:t xml:space="preserve">en in het tweede lid </w:t>
      </w:r>
      <w:r w:rsidRPr="004121B8">
        <w:rPr>
          <w:rFonts w:ascii="Times New Roman" w:hAnsi="Times New Roman"/>
          <w:sz w:val="24"/>
          <w:szCs w:val="20"/>
        </w:rPr>
        <w:t xml:space="preserve">een </w:t>
      </w:r>
      <w:proofErr w:type="spellStart"/>
      <w:r w:rsidRPr="004121B8">
        <w:rPr>
          <w:rFonts w:ascii="Times New Roman" w:hAnsi="Times New Roman"/>
          <w:sz w:val="24"/>
          <w:szCs w:val="20"/>
        </w:rPr>
        <w:t>kernrechtbepaling</w:t>
      </w:r>
      <w:proofErr w:type="spellEnd"/>
      <w:r w:rsidRPr="004121B8">
        <w:rPr>
          <w:rFonts w:ascii="Times New Roman" w:hAnsi="Times New Roman"/>
          <w:sz w:val="24"/>
          <w:szCs w:val="20"/>
        </w:rPr>
        <w:t xml:space="preserve">. </w:t>
      </w:r>
    </w:p>
    <w:p w14:paraId="36D38EFF" w14:textId="77777777" w:rsidR="004121B8" w:rsidRDefault="004121B8" w:rsidP="004121B8">
      <w:pPr>
        <w:tabs>
          <w:tab w:val="left" w:pos="284"/>
          <w:tab w:val="left" w:pos="567"/>
          <w:tab w:val="left" w:pos="851"/>
        </w:tabs>
        <w:ind w:right="139"/>
        <w:rPr>
          <w:rFonts w:ascii="Times New Roman" w:hAnsi="Times New Roman"/>
          <w:sz w:val="24"/>
          <w:szCs w:val="20"/>
        </w:rPr>
      </w:pPr>
    </w:p>
    <w:p w14:paraId="6D219AEF" w14:textId="77777777" w:rsidR="004121B8" w:rsidRPr="004121B8" w:rsidRDefault="004121B8" w:rsidP="004121B8">
      <w:pPr>
        <w:tabs>
          <w:tab w:val="left" w:pos="284"/>
          <w:tab w:val="left" w:pos="567"/>
          <w:tab w:val="left" w:pos="851"/>
        </w:tabs>
        <w:ind w:right="139"/>
        <w:rPr>
          <w:rFonts w:ascii="Times New Roman" w:hAnsi="Times New Roman"/>
          <w:sz w:val="24"/>
          <w:szCs w:val="20"/>
        </w:rPr>
      </w:pPr>
      <w:r w:rsidRPr="004121B8">
        <w:rPr>
          <w:rFonts w:ascii="Times New Roman" w:hAnsi="Times New Roman"/>
          <w:sz w:val="24"/>
          <w:szCs w:val="20"/>
        </w:rPr>
        <w:t xml:space="preserve">Aan de proportionaliteit in enge of strikte zin worden </w:t>
      </w:r>
      <w:r>
        <w:rPr>
          <w:rFonts w:ascii="Times New Roman" w:hAnsi="Times New Roman"/>
          <w:sz w:val="24"/>
          <w:szCs w:val="20"/>
        </w:rPr>
        <w:t>in het eerste artikellid als</w:t>
      </w:r>
      <w:r w:rsidRPr="004121B8">
        <w:rPr>
          <w:rFonts w:ascii="Times New Roman" w:hAnsi="Times New Roman"/>
          <w:sz w:val="24"/>
          <w:szCs w:val="20"/>
        </w:rPr>
        <w:t xml:space="preserve"> zodanig geen eisen gesteld. Deze keuze houdt verband met de </w:t>
      </w:r>
      <w:r>
        <w:rPr>
          <w:rFonts w:ascii="Times New Roman" w:hAnsi="Times New Roman"/>
          <w:sz w:val="24"/>
          <w:szCs w:val="20"/>
        </w:rPr>
        <w:t>in paragraaf 4 van de Memorie van Toelichting</w:t>
      </w:r>
      <w:r w:rsidRPr="004121B8">
        <w:rPr>
          <w:rFonts w:ascii="Times New Roman" w:hAnsi="Times New Roman"/>
          <w:sz w:val="24"/>
          <w:szCs w:val="20"/>
        </w:rPr>
        <w:t xml:space="preserve"> benoemde nadelen die zijn verbonden aan het moeten beoordelen van een belangenafweging. Met opnemen van deze </w:t>
      </w:r>
      <w:r>
        <w:rPr>
          <w:rFonts w:ascii="Times New Roman" w:hAnsi="Times New Roman"/>
          <w:sz w:val="24"/>
          <w:szCs w:val="20"/>
        </w:rPr>
        <w:t xml:space="preserve">materiële </w:t>
      </w:r>
      <w:r w:rsidRPr="004121B8">
        <w:rPr>
          <w:rFonts w:ascii="Times New Roman" w:hAnsi="Times New Roman"/>
          <w:sz w:val="24"/>
          <w:szCs w:val="20"/>
        </w:rPr>
        <w:t>beperkings</w:t>
      </w:r>
      <w:r>
        <w:rPr>
          <w:rFonts w:ascii="Times New Roman" w:hAnsi="Times New Roman"/>
          <w:sz w:val="24"/>
          <w:szCs w:val="20"/>
        </w:rPr>
        <w:t>vereisten</w:t>
      </w:r>
      <w:r w:rsidRPr="004121B8">
        <w:rPr>
          <w:rFonts w:ascii="Times New Roman" w:hAnsi="Times New Roman"/>
          <w:sz w:val="24"/>
          <w:szCs w:val="20"/>
        </w:rPr>
        <w:t xml:space="preserve"> blijft voldoende ruimte voor de wetgever behouden om een eigen, vrije afweging te maken tussen verschillende belangen. </w:t>
      </w:r>
      <w:r>
        <w:rPr>
          <w:rFonts w:ascii="Times New Roman" w:hAnsi="Times New Roman"/>
          <w:sz w:val="24"/>
          <w:szCs w:val="20"/>
        </w:rPr>
        <w:t>Tegelijkertijd biedt de voorgestelde doel-middeltoets de rechter voldoende aangrijpingspunten om in concrete gevallen de redelijkheid en toelaatbaarheid van een grondrechtenbeperking te kunnen beoordelen.</w:t>
      </w:r>
      <w:r w:rsidRPr="004121B8">
        <w:rPr>
          <w:rFonts w:ascii="Times New Roman" w:hAnsi="Times New Roman"/>
          <w:sz w:val="24"/>
          <w:szCs w:val="20"/>
        </w:rPr>
        <w:t xml:space="preserve"> </w:t>
      </w:r>
    </w:p>
    <w:p w14:paraId="3D41BBE9" w14:textId="77777777" w:rsidR="004121B8" w:rsidRPr="004121B8" w:rsidRDefault="004121B8" w:rsidP="004121B8">
      <w:pPr>
        <w:tabs>
          <w:tab w:val="left" w:pos="284"/>
          <w:tab w:val="left" w:pos="567"/>
          <w:tab w:val="left" w:pos="851"/>
        </w:tabs>
        <w:ind w:right="139"/>
        <w:rPr>
          <w:rFonts w:ascii="Times New Roman" w:hAnsi="Times New Roman"/>
          <w:sz w:val="24"/>
          <w:szCs w:val="20"/>
        </w:rPr>
      </w:pPr>
    </w:p>
    <w:p w14:paraId="1DD2A181" w14:textId="77777777" w:rsidR="004121B8" w:rsidRPr="004121B8" w:rsidRDefault="004121B8" w:rsidP="004121B8">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Het tweede artikellid verduidelijkt voor zowel de wetgever als de rechter dat bepe</w:t>
      </w:r>
      <w:r w:rsidRPr="004121B8">
        <w:rPr>
          <w:rFonts w:ascii="Times New Roman" w:hAnsi="Times New Roman"/>
          <w:sz w:val="24"/>
          <w:szCs w:val="20"/>
        </w:rPr>
        <w:t xml:space="preserve">rking van een grondrecht nooit het wezen ervan mag aantasten. </w:t>
      </w:r>
      <w:r>
        <w:rPr>
          <w:rFonts w:ascii="Times New Roman" w:hAnsi="Times New Roman"/>
          <w:sz w:val="24"/>
          <w:szCs w:val="20"/>
        </w:rPr>
        <w:t>Deze bepaling komt in de plaats van een vereiste van proportionaliteit in strikte zin, maar is concreter en gerichter van aard. D</w:t>
      </w:r>
      <w:r w:rsidRPr="004121B8">
        <w:rPr>
          <w:rFonts w:ascii="Times New Roman" w:hAnsi="Times New Roman"/>
          <w:sz w:val="24"/>
          <w:szCs w:val="20"/>
        </w:rPr>
        <w:t xml:space="preserve">e eis zoals neergelegd in het tweede lid van dit voorstel </w:t>
      </w:r>
      <w:r>
        <w:rPr>
          <w:rFonts w:ascii="Times New Roman" w:hAnsi="Times New Roman"/>
          <w:sz w:val="24"/>
          <w:szCs w:val="20"/>
        </w:rPr>
        <w:t xml:space="preserve">vormt </w:t>
      </w:r>
      <w:r w:rsidRPr="004121B8">
        <w:rPr>
          <w:rFonts w:ascii="Times New Roman" w:hAnsi="Times New Roman"/>
          <w:sz w:val="24"/>
          <w:szCs w:val="20"/>
        </w:rPr>
        <w:t xml:space="preserve">een waarborg tegen excessieve beperkingen en het uit het zicht verliezen van individuele belangen. Het belang daarvan staat zeker sinds de kinderopvangtoeslagenaffaire en de ervaringen tijdens de Covid-19-pandemie buiten kijf. </w:t>
      </w:r>
    </w:p>
    <w:p w14:paraId="348A8CC2" w14:textId="77777777" w:rsidR="004121B8" w:rsidRDefault="004121B8" w:rsidP="00B37ED6">
      <w:pPr>
        <w:tabs>
          <w:tab w:val="left" w:pos="284"/>
          <w:tab w:val="left" w:pos="567"/>
          <w:tab w:val="left" w:pos="851"/>
        </w:tabs>
        <w:ind w:right="139"/>
        <w:rPr>
          <w:rFonts w:ascii="Times New Roman" w:hAnsi="Times New Roman"/>
          <w:sz w:val="24"/>
          <w:szCs w:val="20"/>
        </w:rPr>
      </w:pPr>
    </w:p>
    <w:p w14:paraId="4246BF79" w14:textId="77777777" w:rsidR="004121B8" w:rsidRDefault="004121B8" w:rsidP="00B37ED6">
      <w:pPr>
        <w:tabs>
          <w:tab w:val="left" w:pos="284"/>
          <w:tab w:val="left" w:pos="567"/>
          <w:tab w:val="left" w:pos="851"/>
        </w:tabs>
        <w:ind w:right="139"/>
        <w:rPr>
          <w:rFonts w:ascii="Times New Roman" w:hAnsi="Times New Roman"/>
          <w:sz w:val="24"/>
          <w:szCs w:val="20"/>
        </w:rPr>
      </w:pPr>
    </w:p>
    <w:p w14:paraId="2F2C6C5C" w14:textId="77777777" w:rsidR="006244C1" w:rsidRPr="009D3631" w:rsidRDefault="007F16A0" w:rsidP="006244C1">
      <w:pPr>
        <w:tabs>
          <w:tab w:val="left" w:pos="284"/>
          <w:tab w:val="left" w:pos="567"/>
          <w:tab w:val="left" w:pos="851"/>
        </w:tabs>
        <w:ind w:right="139"/>
        <w:rPr>
          <w:rFonts w:ascii="Times New Roman" w:hAnsi="Times New Roman"/>
          <w:sz w:val="24"/>
          <w:szCs w:val="20"/>
        </w:rPr>
      </w:pPr>
      <w:r w:rsidRPr="009D3631">
        <w:rPr>
          <w:rFonts w:ascii="Times New Roman" w:hAnsi="Times New Roman"/>
          <w:sz w:val="24"/>
          <w:szCs w:val="20"/>
        </w:rPr>
        <w:t>De Minister-President, Minister van Algemene Zaken,</w:t>
      </w:r>
    </w:p>
    <w:p w14:paraId="5645D25F"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4FA47541"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73332A48"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0CEA0D09"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0A02D5EF"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29D5E620"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0DEA2B3A"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6B88FC20"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013D5057"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283FBEB2" w14:textId="77777777" w:rsidR="006244C1" w:rsidRPr="009D3631" w:rsidRDefault="007F16A0" w:rsidP="006244C1">
      <w:pPr>
        <w:tabs>
          <w:tab w:val="left" w:pos="284"/>
          <w:tab w:val="left" w:pos="567"/>
          <w:tab w:val="left" w:pos="851"/>
        </w:tabs>
        <w:ind w:right="139"/>
        <w:rPr>
          <w:rFonts w:ascii="Times New Roman" w:hAnsi="Times New Roman"/>
          <w:sz w:val="24"/>
          <w:szCs w:val="20"/>
        </w:rPr>
      </w:pPr>
      <w:r w:rsidRPr="009D3631">
        <w:rPr>
          <w:rFonts w:ascii="Times New Roman" w:hAnsi="Times New Roman"/>
          <w:sz w:val="24"/>
          <w:szCs w:val="20"/>
        </w:rPr>
        <w:t>De Minister van Binnenlandse Zaken en Koninkrijksrelaties,</w:t>
      </w:r>
    </w:p>
    <w:p w14:paraId="30838922"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4130B3DB"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0470BA3B" w14:textId="77777777" w:rsidR="006244C1" w:rsidRPr="009D3631" w:rsidRDefault="006244C1" w:rsidP="008B285A">
      <w:pPr>
        <w:keepNext/>
        <w:keepLines/>
        <w:tabs>
          <w:tab w:val="left" w:pos="284"/>
          <w:tab w:val="left" w:pos="567"/>
          <w:tab w:val="left" w:pos="851"/>
        </w:tabs>
        <w:ind w:right="142"/>
        <w:rPr>
          <w:rFonts w:ascii="Times New Roman" w:hAnsi="Times New Roman"/>
          <w:sz w:val="24"/>
          <w:szCs w:val="20"/>
        </w:rPr>
      </w:pPr>
    </w:p>
    <w:p w14:paraId="73A5272C"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21DCB69A"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2B55EFEA"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1AE19FCE"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5CBC535D"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3FD6F319" w14:textId="77777777" w:rsidR="006244C1" w:rsidRPr="009D3631" w:rsidRDefault="006244C1" w:rsidP="006244C1">
      <w:pPr>
        <w:tabs>
          <w:tab w:val="left" w:pos="284"/>
          <w:tab w:val="left" w:pos="567"/>
          <w:tab w:val="left" w:pos="851"/>
        </w:tabs>
        <w:ind w:right="139"/>
        <w:rPr>
          <w:rFonts w:ascii="Times New Roman" w:hAnsi="Times New Roman"/>
          <w:sz w:val="24"/>
          <w:szCs w:val="20"/>
        </w:rPr>
      </w:pPr>
    </w:p>
    <w:p w14:paraId="3438D788" w14:textId="77777777" w:rsidR="006244C1" w:rsidRPr="009D3631" w:rsidRDefault="007F16A0" w:rsidP="006244C1">
      <w:pPr>
        <w:tabs>
          <w:tab w:val="left" w:pos="284"/>
          <w:tab w:val="left" w:pos="567"/>
          <w:tab w:val="left" w:pos="851"/>
        </w:tabs>
        <w:ind w:right="139"/>
        <w:rPr>
          <w:rFonts w:ascii="Times New Roman" w:hAnsi="Times New Roman"/>
          <w:sz w:val="24"/>
          <w:szCs w:val="20"/>
        </w:rPr>
      </w:pPr>
      <w:r w:rsidRPr="009D3631">
        <w:rPr>
          <w:rFonts w:ascii="Times New Roman" w:hAnsi="Times New Roman"/>
          <w:sz w:val="24"/>
          <w:szCs w:val="20"/>
        </w:rPr>
        <w:t>De Minister van Justitie en Veiligheid,</w:t>
      </w:r>
    </w:p>
    <w:p w14:paraId="03B140E5" w14:textId="379F3AC3" w:rsidR="0081697E" w:rsidRPr="002168F4" w:rsidRDefault="0081697E" w:rsidP="006244C1">
      <w:pPr>
        <w:tabs>
          <w:tab w:val="left" w:pos="284"/>
          <w:tab w:val="left" w:pos="567"/>
          <w:tab w:val="left" w:pos="851"/>
        </w:tabs>
        <w:ind w:right="139"/>
        <w:rPr>
          <w:rFonts w:ascii="Times New Roman" w:hAnsi="Times New Roman"/>
          <w:sz w:val="24"/>
          <w:szCs w:val="20"/>
        </w:rPr>
      </w:pPr>
    </w:p>
    <w:sectPr w:rsidR="0081697E" w:rsidRPr="002168F4" w:rsidSect="00A11E73">
      <w:footerReference w:type="even" r:id="rId8"/>
      <w:footerReference w:type="default" r:id="rId9"/>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BF72" w14:textId="77777777" w:rsidR="002C13C0" w:rsidRDefault="002C13C0">
      <w:pPr>
        <w:spacing w:line="20" w:lineRule="exact"/>
      </w:pPr>
    </w:p>
  </w:endnote>
  <w:endnote w:type="continuationSeparator" w:id="0">
    <w:p w14:paraId="7A139A85" w14:textId="77777777" w:rsidR="002C13C0" w:rsidRDefault="002C13C0">
      <w:pPr>
        <w:pStyle w:val="Amendement"/>
      </w:pPr>
      <w:r>
        <w:rPr>
          <w:b w:val="0"/>
          <w:bCs w:val="0"/>
        </w:rPr>
        <w:t xml:space="preserve"> </w:t>
      </w:r>
    </w:p>
  </w:endnote>
  <w:endnote w:type="continuationNotice" w:id="1">
    <w:p w14:paraId="0F2E1AC3" w14:textId="77777777" w:rsidR="002C13C0" w:rsidRDefault="002C13C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8588" w14:textId="77777777" w:rsidR="007249B6" w:rsidRDefault="007249B6" w:rsidP="00826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06462" w14:textId="77777777" w:rsidR="007249B6" w:rsidRDefault="007249B6" w:rsidP="00216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1F81" w14:textId="77777777" w:rsidR="007249B6" w:rsidRPr="002168F4" w:rsidRDefault="007249B6" w:rsidP="00826224">
    <w:pPr>
      <w:pStyle w:val="Footer"/>
      <w:framePr w:wrap="around" w:vAnchor="text" w:hAnchor="margin" w:xAlign="right" w:y="1"/>
      <w:rPr>
        <w:rStyle w:val="PageNumber"/>
      </w:rPr>
    </w:pPr>
    <w:r w:rsidRPr="002168F4">
      <w:rPr>
        <w:rStyle w:val="PageNumber"/>
        <w:rFonts w:ascii="Times New Roman" w:hAnsi="Times New Roman"/>
      </w:rPr>
      <w:fldChar w:fldCharType="begin"/>
    </w:r>
    <w:r w:rsidRPr="002168F4">
      <w:rPr>
        <w:rStyle w:val="PageNumber"/>
        <w:rFonts w:ascii="Times New Roman" w:hAnsi="Times New Roman"/>
      </w:rPr>
      <w:instrText xml:space="preserve">PAGE  </w:instrText>
    </w:r>
    <w:r w:rsidRPr="002168F4">
      <w:rPr>
        <w:rStyle w:val="PageNumber"/>
        <w:rFonts w:ascii="Times New Roman" w:hAnsi="Times New Roman"/>
      </w:rPr>
      <w:fldChar w:fldCharType="separate"/>
    </w:r>
    <w:r w:rsidR="00BC75F5">
      <w:rPr>
        <w:rStyle w:val="PageNumber"/>
        <w:rFonts w:ascii="Times New Roman" w:hAnsi="Times New Roman"/>
        <w:noProof/>
      </w:rPr>
      <w:t>1</w:t>
    </w:r>
    <w:r w:rsidRPr="002168F4">
      <w:rPr>
        <w:rStyle w:val="PageNumber"/>
        <w:rFonts w:ascii="Times New Roman" w:hAnsi="Times New Roman"/>
      </w:rPr>
      <w:fldChar w:fldCharType="end"/>
    </w:r>
  </w:p>
  <w:p w14:paraId="484784F5" w14:textId="77777777" w:rsidR="007249B6" w:rsidRPr="002168F4" w:rsidRDefault="007249B6" w:rsidP="002168F4">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FBED" w14:textId="77777777" w:rsidR="002C13C0" w:rsidRDefault="002C13C0">
      <w:pPr>
        <w:pStyle w:val="Amendement"/>
      </w:pPr>
      <w:r>
        <w:rPr>
          <w:b w:val="0"/>
          <w:bCs w:val="0"/>
        </w:rPr>
        <w:separator/>
      </w:r>
    </w:p>
  </w:footnote>
  <w:footnote w:type="continuationSeparator" w:id="0">
    <w:p w14:paraId="74DF30F6" w14:textId="77777777" w:rsidR="002C13C0" w:rsidRDefault="002C13C0">
      <w:r>
        <w:continuationSeparator/>
      </w:r>
    </w:p>
  </w:footnote>
  <w:footnote w:id="1">
    <w:p w14:paraId="075F9861" w14:textId="77777777" w:rsidR="007249B6" w:rsidRPr="009D3631" w:rsidRDefault="007249B6" w:rsidP="00EC0A03">
      <w:pPr>
        <w:pStyle w:val="FootnoteText"/>
        <w:rPr>
          <w:rFonts w:ascii="Times New Roman" w:hAnsi="Times New Roman"/>
          <w:noProof/>
        </w:rPr>
      </w:pPr>
      <w:r w:rsidRPr="009D3631">
        <w:rPr>
          <w:rStyle w:val="FootnoteReference"/>
          <w:rFonts w:ascii="Times New Roman" w:hAnsi="Times New Roman"/>
          <w:noProof/>
        </w:rPr>
        <w:footnoteRef/>
      </w:r>
      <w:r w:rsidRPr="009D3631">
        <w:rPr>
          <w:rFonts w:ascii="Times New Roman" w:hAnsi="Times New Roman"/>
          <w:noProof/>
        </w:rPr>
        <w:t xml:space="preserve"> Per 1 september zijn de volgende grondwetswijzigingen van kracht geworden die betrekking hebben op grondrechten: Wet van 6 juli 2022, houdende verandering van de Grondwet, strekkende tot het opnemen van een bepaling over het recht op een eerlijk proces, </w:t>
      </w:r>
      <w:r w:rsidRPr="009D3631">
        <w:rPr>
          <w:rFonts w:ascii="Times New Roman" w:hAnsi="Times New Roman"/>
          <w:i/>
          <w:iCs/>
          <w:noProof/>
        </w:rPr>
        <w:t>Stb.</w:t>
      </w:r>
      <w:r w:rsidRPr="009D3631">
        <w:rPr>
          <w:rFonts w:ascii="Times New Roman" w:hAnsi="Times New Roman"/>
          <w:noProof/>
        </w:rPr>
        <w:t xml:space="preserve"> 2022, 331; Wet van 6 juli 2022, houdende verandering van de Grondwet, strekkende tot het opnemen van een algemene bepaling, </w:t>
      </w:r>
      <w:r w:rsidRPr="009D3631">
        <w:rPr>
          <w:rFonts w:ascii="Times New Roman" w:hAnsi="Times New Roman"/>
          <w:i/>
          <w:iCs/>
          <w:noProof/>
        </w:rPr>
        <w:t xml:space="preserve">Stb. </w:t>
      </w:r>
      <w:r w:rsidRPr="009D3631">
        <w:rPr>
          <w:rFonts w:ascii="Times New Roman" w:hAnsi="Times New Roman"/>
          <w:noProof/>
        </w:rPr>
        <w:t xml:space="preserve">2022, 332; Wet van 6 juli 2022, houdende verandering in de Grondwet van de bepaling inzake de onschendbaarheid van het brief-, telefoon- en telegraafgeheim, </w:t>
      </w:r>
      <w:r w:rsidRPr="009D3631">
        <w:rPr>
          <w:rFonts w:ascii="Times New Roman" w:hAnsi="Times New Roman"/>
          <w:i/>
          <w:iCs/>
          <w:noProof/>
        </w:rPr>
        <w:t>Stb.</w:t>
      </w:r>
      <w:r w:rsidRPr="009D3631">
        <w:rPr>
          <w:rFonts w:ascii="Times New Roman" w:hAnsi="Times New Roman"/>
          <w:noProof/>
        </w:rPr>
        <w:t xml:space="preserve"> 2022, 334.</w:t>
      </w:r>
    </w:p>
  </w:footnote>
  <w:footnote w:id="2">
    <w:p w14:paraId="79658439"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Hoofdlijnenbrief constitutionele toetsing, 1 juli 2022, </w:t>
      </w:r>
      <w:r w:rsidRPr="007249B6">
        <w:rPr>
          <w:rFonts w:ascii="Times New Roman" w:hAnsi="Times New Roman"/>
          <w:i/>
          <w:iCs/>
          <w:noProof/>
          <w:szCs w:val="20"/>
        </w:rPr>
        <w:t>Kamerstukken II</w:t>
      </w:r>
      <w:r w:rsidRPr="007249B6">
        <w:rPr>
          <w:rFonts w:ascii="Times New Roman" w:hAnsi="Times New Roman"/>
          <w:noProof/>
          <w:szCs w:val="20"/>
        </w:rPr>
        <w:t xml:space="preserve"> 2021/23, 35 925 VI, nr. 169.</w:t>
      </w:r>
    </w:p>
  </w:footnote>
  <w:footnote w:id="3">
    <w:p w14:paraId="468E6762"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w:t>
      </w:r>
      <w:r w:rsidRPr="007249B6">
        <w:rPr>
          <w:rFonts w:ascii="Times New Roman" w:hAnsi="Times New Roman"/>
          <w:i/>
          <w:iCs/>
          <w:noProof/>
          <w:szCs w:val="20"/>
        </w:rPr>
        <w:t>Rapport Staatscommissie Grondwet</w:t>
      </w:r>
      <w:r w:rsidRPr="007249B6">
        <w:rPr>
          <w:rFonts w:ascii="Times New Roman" w:hAnsi="Times New Roman"/>
          <w:noProof/>
          <w:szCs w:val="20"/>
        </w:rPr>
        <w:t xml:space="preserve">, Den Haag: november 2010, </w:t>
      </w:r>
      <w:r w:rsidRPr="007249B6">
        <w:rPr>
          <w:rFonts w:ascii="Times New Roman" w:hAnsi="Times New Roman"/>
          <w:i/>
          <w:iCs/>
          <w:noProof/>
          <w:szCs w:val="20"/>
        </w:rPr>
        <w:t>Kamerstukken II</w:t>
      </w:r>
      <w:r w:rsidRPr="007249B6">
        <w:rPr>
          <w:rFonts w:ascii="Times New Roman" w:hAnsi="Times New Roman"/>
          <w:noProof/>
          <w:szCs w:val="20"/>
        </w:rPr>
        <w:t xml:space="preserve"> 2010/11, 31570, nr. 17, bijlage, p. 53; </w:t>
      </w:r>
      <w:r w:rsidRPr="007249B6">
        <w:rPr>
          <w:rFonts w:ascii="Times New Roman" w:hAnsi="Times New Roman"/>
          <w:i/>
          <w:iCs/>
          <w:noProof/>
          <w:szCs w:val="20"/>
        </w:rPr>
        <w:t>Lage drempels, hoge dijken. Democratie en rechtsstaat in balans</w:t>
      </w:r>
      <w:r w:rsidRPr="007249B6">
        <w:rPr>
          <w:rFonts w:ascii="Times New Roman" w:hAnsi="Times New Roman"/>
          <w:noProof/>
          <w:szCs w:val="20"/>
        </w:rPr>
        <w:t xml:space="preserve">, Rapport Staatscommissie Parlementair Stelsel, </w:t>
      </w:r>
      <w:r w:rsidRPr="007249B6">
        <w:rPr>
          <w:rFonts w:ascii="Times New Roman" w:hAnsi="Times New Roman"/>
          <w:i/>
          <w:iCs/>
          <w:noProof/>
          <w:szCs w:val="20"/>
        </w:rPr>
        <w:t>Kamerstukken II</w:t>
      </w:r>
      <w:r w:rsidRPr="007249B6">
        <w:rPr>
          <w:rFonts w:ascii="Times New Roman" w:hAnsi="Times New Roman"/>
          <w:noProof/>
          <w:szCs w:val="20"/>
        </w:rPr>
        <w:t xml:space="preserve"> 2018/19, 34430, nr. 9, bijlage, p. 209.</w:t>
      </w:r>
    </w:p>
  </w:footnote>
  <w:footnote w:id="4">
    <w:p w14:paraId="6020EAFF"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Idem.</w:t>
      </w:r>
    </w:p>
  </w:footnote>
  <w:footnote w:id="5">
    <w:p w14:paraId="69E43504"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w:t>
      </w:r>
      <w:r w:rsidRPr="007249B6">
        <w:rPr>
          <w:rFonts w:ascii="Times New Roman" w:hAnsi="Times New Roman"/>
          <w:i/>
          <w:iCs/>
          <w:noProof/>
          <w:szCs w:val="20"/>
        </w:rPr>
        <w:t>Rapport Staatscommissie Grondwet</w:t>
      </w:r>
      <w:r w:rsidRPr="007249B6">
        <w:rPr>
          <w:rFonts w:ascii="Times New Roman" w:hAnsi="Times New Roman"/>
          <w:noProof/>
          <w:szCs w:val="20"/>
        </w:rPr>
        <w:t xml:space="preserve">, Den Haag: november 2010, </w:t>
      </w:r>
      <w:r w:rsidRPr="007249B6">
        <w:rPr>
          <w:rFonts w:ascii="Times New Roman" w:hAnsi="Times New Roman"/>
          <w:i/>
          <w:iCs/>
          <w:noProof/>
          <w:szCs w:val="20"/>
        </w:rPr>
        <w:t>Kamerstukken II</w:t>
      </w:r>
      <w:r w:rsidRPr="007249B6">
        <w:rPr>
          <w:rFonts w:ascii="Times New Roman" w:hAnsi="Times New Roman"/>
          <w:noProof/>
          <w:szCs w:val="20"/>
        </w:rPr>
        <w:t xml:space="preserve"> 2010/11, 31570, nr. 17, bijlage, p. 54; zie ook </w:t>
      </w:r>
      <w:r w:rsidRPr="007249B6">
        <w:rPr>
          <w:rFonts w:ascii="Times New Roman" w:hAnsi="Times New Roman"/>
          <w:i/>
          <w:iCs/>
          <w:noProof/>
          <w:szCs w:val="20"/>
        </w:rPr>
        <w:t>Lage drempels, hoge dijken. Democratie en rechtsstaat in balans</w:t>
      </w:r>
      <w:r w:rsidRPr="007249B6">
        <w:rPr>
          <w:rFonts w:ascii="Times New Roman" w:hAnsi="Times New Roman"/>
          <w:noProof/>
          <w:szCs w:val="20"/>
        </w:rPr>
        <w:t xml:space="preserve">, Rapport Staatscommissie Parlementair Stelsel, </w:t>
      </w:r>
      <w:r w:rsidRPr="007249B6">
        <w:rPr>
          <w:rFonts w:ascii="Times New Roman" w:hAnsi="Times New Roman"/>
          <w:i/>
          <w:iCs/>
          <w:noProof/>
          <w:szCs w:val="20"/>
        </w:rPr>
        <w:t>Kamerstukken II</w:t>
      </w:r>
      <w:r w:rsidRPr="007249B6">
        <w:rPr>
          <w:rFonts w:ascii="Times New Roman" w:hAnsi="Times New Roman"/>
          <w:noProof/>
          <w:szCs w:val="20"/>
        </w:rPr>
        <w:t xml:space="preserve"> 2018/19, 34430, nr. 9, bijlage, p. 210.</w:t>
      </w:r>
    </w:p>
  </w:footnote>
  <w:footnote w:id="6">
    <w:p w14:paraId="72D2C85F"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De desbetreffende bepaling – Art. II - luidde: ‘Het Maatschappijlijk Verdrag wijzigt, noch beperkt, de natuurlijke rechten van den Mensch, dan in zoo verre zulks, ter bereikinge van dat oogmerk, noodzaaklijk is.’ De woorden ‘dat oogmerk’ sloegen terug op art. I: ‘Het oogmerk der maatschappijlijke vereeniging is beveiliging van persoon, leven, eer en goederen, en beschaaving van verstand en zeden.’</w:t>
      </w:r>
    </w:p>
  </w:footnote>
  <w:footnote w:id="7">
    <w:p w14:paraId="1B5DD043"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Zie hierover Verhey 2003.</w:t>
      </w:r>
    </w:p>
  </w:footnote>
  <w:footnote w:id="8">
    <w:p w14:paraId="790B559B"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Grondrechtenevaluatie-onderzoek is echter niet recent beschikbaar. </w:t>
      </w:r>
    </w:p>
  </w:footnote>
  <w:footnote w:id="9">
    <w:p w14:paraId="42E00F26"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B.P. Vermeulen, Beperking van grondrechten, in: J.B.J.M. ten Berge e.a. (red.), </w:t>
      </w:r>
      <w:r w:rsidRPr="007249B6">
        <w:rPr>
          <w:rFonts w:ascii="Times New Roman" w:hAnsi="Times New Roman"/>
          <w:i/>
          <w:noProof/>
          <w:szCs w:val="20"/>
        </w:rPr>
        <w:t>De Grondwet als voorwerp van aanhoudende zorg</w:t>
      </w:r>
      <w:r w:rsidRPr="007249B6">
        <w:rPr>
          <w:rFonts w:ascii="Times New Roman" w:hAnsi="Times New Roman"/>
          <w:noProof/>
          <w:szCs w:val="20"/>
        </w:rPr>
        <w:t xml:space="preserve"> (Burkens-bundel), Zwolle 1995, p. 1-34. </w:t>
      </w:r>
    </w:p>
  </w:footnote>
  <w:footnote w:id="10">
    <w:p w14:paraId="28B1F7C1"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w:t>
      </w:r>
      <w:r w:rsidRPr="007249B6">
        <w:rPr>
          <w:rFonts w:ascii="Times New Roman" w:hAnsi="Times New Roman"/>
          <w:i/>
          <w:iCs/>
          <w:noProof/>
          <w:szCs w:val="20"/>
        </w:rPr>
        <w:t>Rapport Staatscommissie Grondwet</w:t>
      </w:r>
      <w:r w:rsidRPr="007249B6">
        <w:rPr>
          <w:rFonts w:ascii="Times New Roman" w:hAnsi="Times New Roman"/>
          <w:noProof/>
          <w:szCs w:val="20"/>
        </w:rPr>
        <w:t xml:space="preserve">, Den Haag: november 2010, </w:t>
      </w:r>
      <w:r w:rsidRPr="007249B6">
        <w:rPr>
          <w:rFonts w:ascii="Times New Roman" w:hAnsi="Times New Roman"/>
          <w:i/>
          <w:iCs/>
          <w:noProof/>
          <w:szCs w:val="20"/>
        </w:rPr>
        <w:t>Kamerstukken II</w:t>
      </w:r>
      <w:r w:rsidRPr="007249B6">
        <w:rPr>
          <w:rFonts w:ascii="Times New Roman" w:hAnsi="Times New Roman"/>
          <w:noProof/>
          <w:szCs w:val="20"/>
        </w:rPr>
        <w:t xml:space="preserve"> 2010/11, 31570, nr. 17, bijlage, p. 24-25; </w:t>
      </w:r>
      <w:r w:rsidRPr="007249B6">
        <w:rPr>
          <w:rFonts w:ascii="Times New Roman" w:hAnsi="Times New Roman"/>
          <w:i/>
          <w:iCs/>
          <w:noProof/>
          <w:szCs w:val="20"/>
        </w:rPr>
        <w:t>Lage drempels, hoge dijken. Democratie en rechtsstaat in balans</w:t>
      </w:r>
      <w:r w:rsidRPr="007249B6">
        <w:rPr>
          <w:rFonts w:ascii="Times New Roman" w:hAnsi="Times New Roman"/>
          <w:noProof/>
          <w:szCs w:val="20"/>
        </w:rPr>
        <w:t xml:space="preserve">, Rapport Staatscommissie Parlementair Stelsel, </w:t>
      </w:r>
      <w:r w:rsidRPr="007249B6">
        <w:rPr>
          <w:rFonts w:ascii="Times New Roman" w:hAnsi="Times New Roman"/>
          <w:i/>
          <w:iCs/>
          <w:noProof/>
          <w:szCs w:val="20"/>
        </w:rPr>
        <w:t>Kamerstukken II</w:t>
      </w:r>
      <w:r w:rsidRPr="007249B6">
        <w:rPr>
          <w:rFonts w:ascii="Times New Roman" w:hAnsi="Times New Roman"/>
          <w:noProof/>
          <w:szCs w:val="20"/>
        </w:rPr>
        <w:t xml:space="preserve"> 2018/19, 34430, nr. 9, bijlage, p. 196. </w:t>
      </w:r>
    </w:p>
  </w:footnote>
  <w:footnote w:id="11">
    <w:p w14:paraId="4E7A5D83"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Per 1 september zijn de volgende grondwetswijzigingen van kracht geworden die betrekking hebben op grondrechten: Wet van 6 juli 2022, houdende verandering van de Grondwet, strekkende tot het opnemen van een bepaling over het recht op een eerlijk proces, </w:t>
      </w:r>
      <w:r w:rsidRPr="007249B6">
        <w:rPr>
          <w:rFonts w:ascii="Times New Roman" w:hAnsi="Times New Roman"/>
          <w:i/>
          <w:iCs/>
          <w:noProof/>
          <w:szCs w:val="20"/>
        </w:rPr>
        <w:t>Stb.</w:t>
      </w:r>
      <w:r w:rsidRPr="007249B6">
        <w:rPr>
          <w:rFonts w:ascii="Times New Roman" w:hAnsi="Times New Roman"/>
          <w:noProof/>
          <w:szCs w:val="20"/>
        </w:rPr>
        <w:t xml:space="preserve"> 2022, 331; Wet van 6 juli 2022, houdende verandering van de Grondwet, strekkende tot het opnemen van een algemene bepaling, </w:t>
      </w:r>
      <w:r w:rsidRPr="007249B6">
        <w:rPr>
          <w:rFonts w:ascii="Times New Roman" w:hAnsi="Times New Roman"/>
          <w:i/>
          <w:iCs/>
          <w:noProof/>
          <w:szCs w:val="20"/>
        </w:rPr>
        <w:t xml:space="preserve">Stb. </w:t>
      </w:r>
      <w:r w:rsidRPr="007249B6">
        <w:rPr>
          <w:rFonts w:ascii="Times New Roman" w:hAnsi="Times New Roman"/>
          <w:noProof/>
          <w:szCs w:val="20"/>
        </w:rPr>
        <w:t xml:space="preserve">2022, 332; Wet van 6 juli 2022, houdende verandering in de Grondwet van de bepaling inzake de onschendbaarheid van het brief-, telefoon- en telegraafgeheim, </w:t>
      </w:r>
      <w:r w:rsidRPr="007249B6">
        <w:rPr>
          <w:rFonts w:ascii="Times New Roman" w:hAnsi="Times New Roman"/>
          <w:i/>
          <w:iCs/>
          <w:noProof/>
          <w:szCs w:val="20"/>
        </w:rPr>
        <w:t>Stb.</w:t>
      </w:r>
      <w:r w:rsidRPr="007249B6">
        <w:rPr>
          <w:rFonts w:ascii="Times New Roman" w:hAnsi="Times New Roman"/>
          <w:noProof/>
          <w:szCs w:val="20"/>
        </w:rPr>
        <w:t xml:space="preserve"> 2022, 334.</w:t>
      </w:r>
    </w:p>
  </w:footnote>
  <w:footnote w:id="12">
    <w:p w14:paraId="47623F7C"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Zie onder meer L. Verhey, ‘Het grondwettelijk beschermingssysteem: handhaving of herbezinning?’, 28 </w:t>
      </w:r>
      <w:r w:rsidRPr="007249B6">
        <w:rPr>
          <w:rFonts w:ascii="Times New Roman" w:hAnsi="Times New Roman"/>
          <w:i/>
          <w:noProof/>
          <w:szCs w:val="20"/>
        </w:rPr>
        <w:t xml:space="preserve">NJCM-Bulletin </w:t>
      </w:r>
      <w:r w:rsidRPr="007249B6">
        <w:rPr>
          <w:rFonts w:ascii="Times New Roman" w:hAnsi="Times New Roman"/>
          <w:noProof/>
          <w:szCs w:val="20"/>
        </w:rPr>
        <w:t xml:space="preserve">2003 (3a), p. 216-232; G. Van der Schyff, ‘De beperkingssystematiek van de Nederlandse grondrechten: kanttekeningen bij het rapport van de Staatscommissie Grondwet’, </w:t>
      </w:r>
      <w:r w:rsidRPr="007249B6">
        <w:rPr>
          <w:rFonts w:ascii="Times New Roman" w:hAnsi="Times New Roman"/>
          <w:i/>
          <w:noProof/>
          <w:szCs w:val="20"/>
        </w:rPr>
        <w:t>Tijdschrift voor Constitutioneel Recht</w:t>
      </w:r>
      <w:r w:rsidRPr="007249B6">
        <w:rPr>
          <w:rFonts w:ascii="Times New Roman" w:hAnsi="Times New Roman"/>
          <w:noProof/>
          <w:szCs w:val="20"/>
        </w:rPr>
        <w:t xml:space="preserve"> 2011 (2), p. 186-194; J.H. Gerards, ‘Oordelen over grondrechten – rechtsvinding door de drie hoogste rechters in Nederland’, in: H. den Tonkelaar &amp; L. de Groot, </w:t>
      </w:r>
      <w:r w:rsidRPr="007249B6">
        <w:rPr>
          <w:rFonts w:ascii="Times New Roman" w:hAnsi="Times New Roman"/>
          <w:i/>
          <w:noProof/>
          <w:szCs w:val="20"/>
        </w:rPr>
        <w:t>Rechtsvinding op veertien terreinen</w:t>
      </w:r>
      <w:r w:rsidRPr="007249B6">
        <w:rPr>
          <w:rFonts w:ascii="Times New Roman" w:hAnsi="Times New Roman"/>
          <w:noProof/>
          <w:szCs w:val="20"/>
        </w:rPr>
        <w:t xml:space="preserve">, Deventer: Kluwer 2012, p. 9-51; M. Julicher, </w:t>
      </w:r>
      <w:r w:rsidRPr="007249B6">
        <w:rPr>
          <w:rFonts w:ascii="Times New Roman" w:hAnsi="Times New Roman"/>
          <w:i/>
          <w:iCs/>
          <w:noProof/>
          <w:szCs w:val="20"/>
        </w:rPr>
        <w:t>Nederlandse grondrechten: klaar voor de toekomst? Modernisering van grondrechten in de Grondwet in het licht van het EVRM en het EU-Grondrechtenhandvest</w:t>
      </w:r>
      <w:r w:rsidRPr="007249B6">
        <w:rPr>
          <w:rFonts w:ascii="Times New Roman" w:hAnsi="Times New Roman"/>
          <w:noProof/>
          <w:szCs w:val="20"/>
        </w:rPr>
        <w:t>, Diss. Universiteit Utrecht 2020.</w:t>
      </w:r>
    </w:p>
  </w:footnote>
  <w:footnote w:id="13">
    <w:p w14:paraId="1F2A4A2C"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J.H. Gerards, ‘Oordelen over grondrechten – rechtsvinding door de drie hoogste rechters in Nederland’, in: H. den Tonkelaar &amp; L. de Groot, </w:t>
      </w:r>
      <w:r w:rsidRPr="007249B6">
        <w:rPr>
          <w:rFonts w:ascii="Times New Roman" w:hAnsi="Times New Roman"/>
          <w:i/>
          <w:noProof/>
          <w:szCs w:val="20"/>
        </w:rPr>
        <w:t>Rechtsvinding op veertien terreinen</w:t>
      </w:r>
      <w:r w:rsidRPr="007249B6">
        <w:rPr>
          <w:rFonts w:ascii="Times New Roman" w:hAnsi="Times New Roman"/>
          <w:noProof/>
          <w:szCs w:val="20"/>
        </w:rPr>
        <w:t>, Deventer: Kluwer 2012, p. 9-51.</w:t>
      </w:r>
    </w:p>
  </w:footnote>
  <w:footnote w:id="14">
    <w:p w14:paraId="346C3075"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Zie reeds H.R.B.M. Kummeling ‘Proliferatie van proportionaliteit. Over een beginsel dat ook in de Nederlandse Grondwet niet zou misstaan’, in: P.P.T. Bovend’Eert e.a. (red.), </w:t>
      </w:r>
      <w:r w:rsidRPr="007249B6">
        <w:rPr>
          <w:rFonts w:ascii="Times New Roman" w:hAnsi="Times New Roman"/>
          <w:i/>
          <w:iCs/>
          <w:noProof/>
          <w:szCs w:val="20"/>
        </w:rPr>
        <w:t>Grensverleggend staatsrecht</w:t>
      </w:r>
      <w:r w:rsidRPr="007249B6">
        <w:rPr>
          <w:rFonts w:ascii="Times New Roman" w:hAnsi="Times New Roman"/>
          <w:noProof/>
          <w:szCs w:val="20"/>
        </w:rPr>
        <w:t>, Deventer: Kluwer 2001, p. 247.</w:t>
      </w:r>
    </w:p>
  </w:footnote>
  <w:footnote w:id="15">
    <w:p w14:paraId="358BD45E"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J.H. Gerards, ‘Grondrechten in de Nederlandse rechtspraak’, </w:t>
      </w:r>
      <w:r w:rsidRPr="007249B6">
        <w:rPr>
          <w:rFonts w:ascii="Times New Roman" w:hAnsi="Times New Roman"/>
          <w:i/>
          <w:iCs/>
          <w:noProof/>
          <w:szCs w:val="20"/>
        </w:rPr>
        <w:t>Rechtstreeks</w:t>
      </w:r>
      <w:r w:rsidRPr="007249B6">
        <w:rPr>
          <w:rFonts w:ascii="Times New Roman" w:hAnsi="Times New Roman"/>
          <w:noProof/>
          <w:szCs w:val="20"/>
        </w:rPr>
        <w:t xml:space="preserve"> 2013 (3) pp. 17-39.</w:t>
      </w:r>
    </w:p>
  </w:footnote>
  <w:footnote w:id="16">
    <w:p w14:paraId="505EE826"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w:t>
      </w:r>
      <w:r w:rsidRPr="007249B6">
        <w:rPr>
          <w:rFonts w:ascii="Times New Roman" w:hAnsi="Times New Roman"/>
          <w:i/>
          <w:iCs/>
          <w:noProof/>
          <w:szCs w:val="20"/>
        </w:rPr>
        <w:t>Rapport Staatscommissie Grondwet</w:t>
      </w:r>
      <w:r w:rsidRPr="007249B6">
        <w:rPr>
          <w:rFonts w:ascii="Times New Roman" w:hAnsi="Times New Roman"/>
          <w:noProof/>
          <w:szCs w:val="20"/>
        </w:rPr>
        <w:t xml:space="preserve">, Den Haag: november 2010, </w:t>
      </w:r>
      <w:r w:rsidRPr="007249B6">
        <w:rPr>
          <w:rFonts w:ascii="Times New Roman" w:hAnsi="Times New Roman"/>
          <w:i/>
          <w:iCs/>
          <w:noProof/>
          <w:szCs w:val="20"/>
        </w:rPr>
        <w:t>Kamerstukken II</w:t>
      </w:r>
      <w:r w:rsidRPr="007249B6">
        <w:rPr>
          <w:rFonts w:ascii="Times New Roman" w:hAnsi="Times New Roman"/>
          <w:noProof/>
          <w:szCs w:val="20"/>
        </w:rPr>
        <w:t xml:space="preserve"> 2010/11, 31570, nr. 17, bijlage, p. 54.</w:t>
      </w:r>
    </w:p>
  </w:footnote>
  <w:footnote w:id="17">
    <w:p w14:paraId="63FCD703" w14:textId="77777777" w:rsidR="007249B6" w:rsidRPr="007B03B5" w:rsidRDefault="007249B6" w:rsidP="00B37ED6">
      <w:pPr>
        <w:pStyle w:val="FootnoteText"/>
        <w:rPr>
          <w:rFonts w:ascii="Times New Roman" w:hAnsi="Times New Roman"/>
          <w:noProof/>
          <w:szCs w:val="20"/>
          <w:lang w:val="en-US"/>
        </w:rPr>
      </w:pPr>
      <w:r w:rsidRPr="007249B6">
        <w:rPr>
          <w:rStyle w:val="FootnoteReference"/>
          <w:rFonts w:ascii="Times New Roman" w:hAnsi="Times New Roman"/>
          <w:noProof/>
          <w:szCs w:val="20"/>
        </w:rPr>
        <w:footnoteRef/>
      </w:r>
      <w:r w:rsidRPr="007B03B5">
        <w:rPr>
          <w:rFonts w:ascii="Times New Roman" w:hAnsi="Times New Roman"/>
          <w:noProof/>
          <w:szCs w:val="20"/>
          <w:lang w:val="en-US"/>
        </w:rPr>
        <w:t xml:space="preserve"> J.H. Gerards, </w:t>
      </w:r>
      <w:r w:rsidRPr="007B03B5">
        <w:rPr>
          <w:rFonts w:ascii="Times New Roman" w:hAnsi="Times New Roman"/>
          <w:i/>
          <w:iCs/>
          <w:noProof/>
          <w:szCs w:val="20"/>
          <w:lang w:val="en-US"/>
        </w:rPr>
        <w:t>General Principles of the European Convention on Human Rights</w:t>
      </w:r>
      <w:r w:rsidRPr="007B03B5">
        <w:rPr>
          <w:rFonts w:ascii="Times New Roman" w:hAnsi="Times New Roman"/>
          <w:noProof/>
          <w:szCs w:val="20"/>
          <w:lang w:val="en-US"/>
        </w:rPr>
        <w:t>, Cambridge: Cambridge University Press 2020 (tweede druk te verschijnen februari 2023), par. 1.5.</w:t>
      </w:r>
    </w:p>
  </w:footnote>
  <w:footnote w:id="18">
    <w:p w14:paraId="75D18CCA" w14:textId="77777777" w:rsidR="007249B6" w:rsidRPr="007B03B5" w:rsidRDefault="007249B6" w:rsidP="00B37ED6">
      <w:pPr>
        <w:pStyle w:val="FootnoteText"/>
        <w:rPr>
          <w:rFonts w:ascii="Times New Roman" w:hAnsi="Times New Roman"/>
          <w:noProof/>
          <w:szCs w:val="20"/>
          <w:lang w:val="en-US"/>
        </w:rPr>
      </w:pPr>
      <w:r w:rsidRPr="007249B6">
        <w:rPr>
          <w:rStyle w:val="FootnoteReference"/>
          <w:rFonts w:ascii="Times New Roman" w:hAnsi="Times New Roman"/>
          <w:noProof/>
          <w:szCs w:val="20"/>
        </w:rPr>
        <w:footnoteRef/>
      </w:r>
      <w:r w:rsidRPr="007B03B5">
        <w:rPr>
          <w:rFonts w:ascii="Times New Roman" w:hAnsi="Times New Roman"/>
          <w:noProof/>
          <w:szCs w:val="20"/>
          <w:lang w:val="en-US"/>
        </w:rPr>
        <w:t xml:space="preserve"> Zie nader J.H. Gerards, </w:t>
      </w:r>
      <w:r w:rsidRPr="007B03B5">
        <w:rPr>
          <w:rFonts w:ascii="Times New Roman" w:hAnsi="Times New Roman"/>
          <w:i/>
          <w:iCs/>
          <w:noProof/>
          <w:szCs w:val="20"/>
          <w:lang w:val="en-US"/>
        </w:rPr>
        <w:t>General Principles of the European Convention on Human Rights</w:t>
      </w:r>
      <w:r w:rsidRPr="007B03B5">
        <w:rPr>
          <w:rFonts w:ascii="Times New Roman" w:hAnsi="Times New Roman"/>
          <w:noProof/>
          <w:szCs w:val="20"/>
          <w:lang w:val="en-US"/>
        </w:rPr>
        <w:t>, Cambridge: Cambridge University Press 2019 (tweede druk te verschijnen februari 2023).</w:t>
      </w:r>
    </w:p>
  </w:footnote>
  <w:footnote w:id="19">
    <w:p w14:paraId="03132782"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w:t>
      </w:r>
      <w:r w:rsidRPr="007249B6">
        <w:rPr>
          <w:rFonts w:ascii="Times New Roman" w:hAnsi="Times New Roman"/>
          <w:i/>
          <w:iCs/>
          <w:noProof/>
          <w:szCs w:val="20"/>
        </w:rPr>
        <w:t>Handyside t. het Verenigd Koninkrijk</w:t>
      </w:r>
      <w:r w:rsidRPr="007249B6">
        <w:rPr>
          <w:rFonts w:ascii="Times New Roman" w:hAnsi="Times New Roman"/>
          <w:noProof/>
          <w:szCs w:val="20"/>
        </w:rPr>
        <w:t>, EHRM 7 december 1976, nr. 5493/72, ECLI:CE:ECHR:1976:1207JUD000549372, par. 48.</w:t>
      </w:r>
    </w:p>
  </w:footnote>
  <w:footnote w:id="20">
    <w:p w14:paraId="10DF5F1A"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Idem.</w:t>
      </w:r>
    </w:p>
  </w:footnote>
  <w:footnote w:id="21">
    <w:p w14:paraId="645016C0"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w:t>
      </w:r>
      <w:r w:rsidRPr="007249B6">
        <w:rPr>
          <w:rFonts w:ascii="Times New Roman" w:hAnsi="Times New Roman"/>
          <w:i/>
          <w:iCs/>
          <w:noProof/>
          <w:szCs w:val="20"/>
        </w:rPr>
        <w:t>Sunday Times t. het Verenigd Koninkrijk</w:t>
      </w:r>
      <w:r w:rsidRPr="007249B6">
        <w:rPr>
          <w:rFonts w:ascii="Times New Roman" w:hAnsi="Times New Roman"/>
          <w:noProof/>
          <w:szCs w:val="20"/>
        </w:rPr>
        <w:t xml:space="preserve">, EHRM 26 april 1979, nr. 6538/74, ECLI:CE:ECHR:1979:0426JUD000653872, </w:t>
      </w:r>
      <w:r w:rsidRPr="007249B6">
        <w:rPr>
          <w:rFonts w:ascii="Times New Roman" w:hAnsi="Times New Roman"/>
          <w:i/>
          <w:iCs/>
          <w:noProof/>
          <w:szCs w:val="20"/>
        </w:rPr>
        <w:t>NJ</w:t>
      </w:r>
      <w:r w:rsidRPr="007249B6">
        <w:rPr>
          <w:rFonts w:ascii="Times New Roman" w:hAnsi="Times New Roman"/>
          <w:noProof/>
          <w:szCs w:val="20"/>
        </w:rPr>
        <w:t xml:space="preserve"> 1980/146 m.nt. E.A. Alkema, par. 62</w:t>
      </w:r>
    </w:p>
  </w:footnote>
  <w:footnote w:id="22">
    <w:p w14:paraId="6F85BE55" w14:textId="77777777" w:rsidR="007249B6" w:rsidRPr="007B03B5" w:rsidRDefault="007249B6" w:rsidP="00B37ED6">
      <w:pPr>
        <w:pStyle w:val="FootnoteText"/>
        <w:rPr>
          <w:rFonts w:ascii="Times New Roman" w:hAnsi="Times New Roman"/>
          <w:noProof/>
          <w:szCs w:val="20"/>
          <w:lang w:val="en-US"/>
        </w:rPr>
      </w:pPr>
      <w:r w:rsidRPr="007249B6">
        <w:rPr>
          <w:rStyle w:val="FootnoteReference"/>
          <w:rFonts w:ascii="Times New Roman" w:hAnsi="Times New Roman"/>
          <w:noProof/>
          <w:szCs w:val="20"/>
        </w:rPr>
        <w:footnoteRef/>
      </w:r>
      <w:r w:rsidRPr="007B03B5">
        <w:rPr>
          <w:rFonts w:ascii="Times New Roman" w:hAnsi="Times New Roman"/>
          <w:noProof/>
          <w:szCs w:val="20"/>
          <w:lang w:val="en-US"/>
        </w:rPr>
        <w:t xml:space="preserve"> Zie nader J.H. Gerards, ‘How to Improve the Necessity Test of the European Court of Human Rights?’, 11 </w:t>
      </w:r>
      <w:r w:rsidRPr="007B03B5">
        <w:rPr>
          <w:rFonts w:ascii="Times New Roman" w:hAnsi="Times New Roman"/>
          <w:i/>
          <w:iCs/>
          <w:noProof/>
          <w:szCs w:val="20"/>
          <w:lang w:val="en-US"/>
        </w:rPr>
        <w:t>International Journal of Constitutional Law</w:t>
      </w:r>
      <w:r w:rsidRPr="007B03B5">
        <w:rPr>
          <w:rFonts w:ascii="Times New Roman" w:hAnsi="Times New Roman"/>
          <w:noProof/>
          <w:szCs w:val="20"/>
          <w:lang w:val="en-US"/>
        </w:rPr>
        <w:t xml:space="preserve"> 2013 (2), p. 466-490.</w:t>
      </w:r>
    </w:p>
  </w:footnote>
  <w:footnote w:id="23">
    <w:p w14:paraId="78E3A302" w14:textId="77777777" w:rsidR="007249B6" w:rsidRPr="007B03B5" w:rsidRDefault="007249B6" w:rsidP="00B37ED6">
      <w:pPr>
        <w:pStyle w:val="FootnoteText"/>
        <w:rPr>
          <w:rFonts w:ascii="Times New Roman" w:hAnsi="Times New Roman"/>
          <w:noProof/>
          <w:szCs w:val="20"/>
          <w:lang w:val="en-US"/>
        </w:rPr>
      </w:pPr>
      <w:r w:rsidRPr="007249B6">
        <w:rPr>
          <w:rStyle w:val="FootnoteReference"/>
          <w:rFonts w:ascii="Times New Roman" w:hAnsi="Times New Roman"/>
          <w:noProof/>
          <w:szCs w:val="20"/>
        </w:rPr>
        <w:footnoteRef/>
      </w:r>
      <w:r w:rsidRPr="007B03B5">
        <w:rPr>
          <w:rFonts w:ascii="Times New Roman" w:hAnsi="Times New Roman"/>
          <w:noProof/>
          <w:szCs w:val="20"/>
          <w:lang w:val="en-US"/>
        </w:rPr>
        <w:t xml:space="preserve"> J.H. Gerards, </w:t>
      </w:r>
      <w:r w:rsidRPr="007B03B5">
        <w:rPr>
          <w:rFonts w:ascii="Times New Roman" w:hAnsi="Times New Roman"/>
          <w:i/>
          <w:iCs/>
          <w:noProof/>
          <w:szCs w:val="20"/>
          <w:lang w:val="en-US"/>
        </w:rPr>
        <w:t>General Principles of the European Convention on Human Rights</w:t>
      </w:r>
      <w:r w:rsidRPr="007B03B5">
        <w:rPr>
          <w:rFonts w:ascii="Times New Roman" w:hAnsi="Times New Roman"/>
          <w:noProof/>
          <w:szCs w:val="20"/>
          <w:lang w:val="en-US"/>
        </w:rPr>
        <w:t>, Cambridge: Cambridge University Press 2019 (tweede druk te verschijnen februari 2023), par. 10.4.</w:t>
      </w:r>
    </w:p>
  </w:footnote>
  <w:footnote w:id="24">
    <w:p w14:paraId="4FF185BA"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Zie in meer detail o.m. F.M.J. den Houdijker, </w:t>
      </w:r>
      <w:r w:rsidRPr="007249B6">
        <w:rPr>
          <w:rFonts w:ascii="Times New Roman" w:hAnsi="Times New Roman"/>
          <w:bCs/>
          <w:i/>
          <w:iCs/>
          <w:noProof/>
          <w:szCs w:val="20"/>
        </w:rPr>
        <w:t>Afweging van grondrechten in een veellagig rechtssysteem. De toepassing van het proportionaliteitsbeginsel in strikte zin door het EHRM en het HvJ EU</w:t>
      </w:r>
      <w:r w:rsidRPr="007249B6">
        <w:rPr>
          <w:rFonts w:ascii="Times New Roman" w:hAnsi="Times New Roman"/>
          <w:bCs/>
          <w:noProof/>
          <w:szCs w:val="20"/>
        </w:rPr>
        <w:t>, Nijmegen: WLP 2012.</w:t>
      </w:r>
    </w:p>
  </w:footnote>
  <w:footnote w:id="25">
    <w:p w14:paraId="7FA4101A"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Idem.</w:t>
      </w:r>
    </w:p>
  </w:footnote>
  <w:footnote w:id="26">
    <w:p w14:paraId="540AA5FD" w14:textId="77777777" w:rsidR="007249B6" w:rsidRPr="007249B6" w:rsidRDefault="007249B6" w:rsidP="00B37ED6">
      <w:pPr>
        <w:pStyle w:val="FootnoteText"/>
        <w:rPr>
          <w:rFonts w:ascii="Times New Roman" w:hAnsi="Times New Roman"/>
          <w:noProof/>
          <w:szCs w:val="20"/>
        </w:rPr>
      </w:pPr>
      <w:r w:rsidRPr="007249B6">
        <w:rPr>
          <w:rStyle w:val="FootnoteReference"/>
          <w:rFonts w:ascii="Times New Roman" w:hAnsi="Times New Roman"/>
          <w:noProof/>
          <w:szCs w:val="20"/>
        </w:rPr>
        <w:footnoteRef/>
      </w:r>
      <w:r w:rsidRPr="007249B6">
        <w:rPr>
          <w:rFonts w:ascii="Times New Roman" w:hAnsi="Times New Roman"/>
          <w:noProof/>
          <w:szCs w:val="20"/>
        </w:rPr>
        <w:t xml:space="preserve"> ‘Volgens vaste rechtspraak kan de uitoefening van deze fundamentele rechten, met name in het kader van een gemeenschappelijke marktordening, evenwel aan beperkingen worden onderworpen, voor zover die beperkingen werkelijk beantwoorden aan de doeleinden van algemeen belang die de Gemeenschap nastreeft en, het nagestreefde doel in aanmerking genomen, niet zijn te beschouwen als een onevenredige en onduldbare ingreep, waardoor de gewaarborgde rechten in hun kern worden aangetast’ (HvJ EU 13 april 2000, zaak C-292/97, punt 45.)</w:t>
      </w:r>
    </w:p>
  </w:footnote>
  <w:footnote w:id="27">
    <w:p w14:paraId="378EAE28" w14:textId="77777777" w:rsidR="007249B6" w:rsidRPr="009D3631" w:rsidRDefault="007249B6" w:rsidP="00B37ED6">
      <w:pPr>
        <w:pStyle w:val="FootnoteText"/>
        <w:rPr>
          <w:rFonts w:ascii="Times New Roman" w:hAnsi="Times New Roman"/>
          <w:noProof/>
          <w:szCs w:val="20"/>
          <w:lang w:val="en-US"/>
        </w:rPr>
      </w:pPr>
      <w:r w:rsidRPr="009D3631">
        <w:rPr>
          <w:rStyle w:val="FootnoteReference"/>
          <w:rFonts w:ascii="Times New Roman" w:hAnsi="Times New Roman"/>
          <w:noProof/>
          <w:szCs w:val="20"/>
        </w:rPr>
        <w:footnoteRef/>
      </w:r>
      <w:r w:rsidRPr="009D3631">
        <w:rPr>
          <w:rFonts w:ascii="Times New Roman" w:hAnsi="Times New Roman"/>
          <w:noProof/>
          <w:szCs w:val="20"/>
          <w:lang w:val="en-US"/>
        </w:rPr>
        <w:t xml:space="preserve"> Zie hierover X. Groussot &amp; G. Thor Petursson, ‘The EU Charter of Fundamental Rights Five Years on. The Emergence of a New Constitutional Framework?’, in: S. de Vries, U. Bernitz en S. Weatherill (red.), </w:t>
      </w:r>
      <w:r w:rsidRPr="009D3631">
        <w:rPr>
          <w:rFonts w:ascii="Times New Roman" w:hAnsi="Times New Roman"/>
          <w:i/>
          <w:iCs/>
          <w:noProof/>
          <w:szCs w:val="20"/>
          <w:lang w:val="en-US"/>
        </w:rPr>
        <w:t>The EU Charter of Fundamental Rights as a Binding Instrument: Five Years Old and Growing</w:t>
      </w:r>
      <w:r w:rsidRPr="009D3631">
        <w:rPr>
          <w:rFonts w:ascii="Times New Roman" w:hAnsi="Times New Roman"/>
          <w:noProof/>
          <w:szCs w:val="20"/>
          <w:lang w:val="en-US"/>
        </w:rPr>
        <w:t>, Oxford: Hart Publishing 2015, pp. 135-154, op pp. 139-140.</w:t>
      </w:r>
    </w:p>
  </w:footnote>
  <w:footnote w:id="28">
    <w:p w14:paraId="77BC06CD" w14:textId="77777777" w:rsidR="007249B6" w:rsidRPr="009D3631" w:rsidRDefault="007249B6" w:rsidP="00B37ED6">
      <w:pPr>
        <w:pStyle w:val="FootnoteText"/>
        <w:tabs>
          <w:tab w:val="left" w:pos="7350"/>
        </w:tabs>
        <w:rPr>
          <w:rFonts w:ascii="Times New Roman" w:hAnsi="Times New Roman"/>
          <w:noProof/>
          <w:szCs w:val="20"/>
          <w:lang w:val="en-US"/>
        </w:rPr>
      </w:pPr>
      <w:r w:rsidRPr="009D3631">
        <w:rPr>
          <w:rStyle w:val="FootnoteReference"/>
          <w:rFonts w:ascii="Times New Roman" w:hAnsi="Times New Roman"/>
          <w:noProof/>
          <w:szCs w:val="20"/>
        </w:rPr>
        <w:footnoteRef/>
      </w:r>
      <w:r w:rsidRPr="009D3631">
        <w:rPr>
          <w:rFonts w:ascii="Times New Roman" w:hAnsi="Times New Roman"/>
          <w:noProof/>
          <w:szCs w:val="20"/>
          <w:lang w:val="en-US"/>
        </w:rPr>
        <w:t xml:space="preserve"> J.H. Gerards, </w:t>
      </w:r>
      <w:r w:rsidRPr="007B03B5">
        <w:rPr>
          <w:rFonts w:ascii="Times New Roman" w:hAnsi="Times New Roman"/>
          <w:i/>
          <w:iCs/>
          <w:noProof/>
          <w:szCs w:val="20"/>
          <w:lang w:val="en-US"/>
        </w:rPr>
        <w:t>General Principles of the European Convention on Human Rights</w:t>
      </w:r>
      <w:r w:rsidRPr="007B03B5">
        <w:rPr>
          <w:rFonts w:ascii="Times New Roman" w:hAnsi="Times New Roman"/>
          <w:noProof/>
          <w:szCs w:val="20"/>
          <w:lang w:val="en-US"/>
        </w:rPr>
        <w:t>, Cambridge: Cambridge University Press 2019 (tweede druk te verschijnen februari 2023), hoofdstuk 9.</w:t>
      </w:r>
      <w:r w:rsidRPr="009D3631">
        <w:rPr>
          <w:rFonts w:ascii="Times New Roman" w:hAnsi="Times New Roman"/>
          <w:noProof/>
          <w:szCs w:val="20"/>
          <w:lang w:val="en-US"/>
        </w:rPr>
        <w:tab/>
      </w:r>
    </w:p>
  </w:footnote>
  <w:footnote w:id="29">
    <w:p w14:paraId="035DD140" w14:textId="77777777" w:rsidR="007249B6" w:rsidRPr="009D3631" w:rsidRDefault="007249B6" w:rsidP="00B37ED6">
      <w:pPr>
        <w:pStyle w:val="FootnoteText"/>
        <w:rPr>
          <w:rFonts w:ascii="Times New Roman" w:hAnsi="Times New Roman"/>
          <w:noProof/>
          <w:szCs w:val="20"/>
        </w:rPr>
      </w:pPr>
      <w:r w:rsidRPr="009D3631">
        <w:rPr>
          <w:rStyle w:val="FootnoteReference"/>
          <w:rFonts w:ascii="Times New Roman" w:hAnsi="Times New Roman"/>
          <w:noProof/>
          <w:szCs w:val="20"/>
        </w:rPr>
        <w:footnoteRef/>
      </w:r>
      <w:r w:rsidRPr="009D3631">
        <w:rPr>
          <w:rFonts w:ascii="Times New Roman" w:hAnsi="Times New Roman"/>
          <w:noProof/>
          <w:szCs w:val="20"/>
          <w:lang w:val="en-US"/>
        </w:rPr>
        <w:t xml:space="preserve"> X. Groussot &amp; G. Thor Petursson, ‘The EU Charter of Fundamental Rights Five Years on. The Emergence of a New Constitutional Framework?’, in S. de Vries, U. Bernitz en S. Weatherill (red.), </w:t>
      </w:r>
      <w:r w:rsidRPr="009D3631">
        <w:rPr>
          <w:rFonts w:ascii="Times New Roman" w:hAnsi="Times New Roman"/>
          <w:i/>
          <w:iCs/>
          <w:noProof/>
          <w:szCs w:val="20"/>
          <w:lang w:val="en-US"/>
        </w:rPr>
        <w:t>The EU Charter of Fundamental Rights as a Binding Instrument: Five Years Old and Growing</w:t>
      </w:r>
      <w:r w:rsidRPr="009D3631">
        <w:rPr>
          <w:rFonts w:ascii="Times New Roman" w:hAnsi="Times New Roman"/>
          <w:noProof/>
          <w:szCs w:val="20"/>
          <w:lang w:val="en-US"/>
        </w:rPr>
        <w:t xml:space="preserve">, Oxford: Hart Publishing 2015, pp. 135-154, op p. 139. </w:t>
      </w:r>
      <w:r w:rsidRPr="009D3631">
        <w:rPr>
          <w:rFonts w:ascii="Times New Roman" w:hAnsi="Times New Roman"/>
          <w:noProof/>
          <w:szCs w:val="20"/>
        </w:rPr>
        <w:t>Vgl. bijv. HvJ EU 8 april 2014, gev. zaken C-293/12 en C-594/12 (</w:t>
      </w:r>
      <w:r w:rsidRPr="009D3631">
        <w:rPr>
          <w:rFonts w:ascii="Times New Roman" w:hAnsi="Times New Roman"/>
          <w:i/>
          <w:iCs/>
          <w:noProof/>
          <w:szCs w:val="20"/>
        </w:rPr>
        <w:t>Digital Rights Ireland</w:t>
      </w:r>
      <w:r w:rsidRPr="009D3631">
        <w:rPr>
          <w:rFonts w:ascii="Times New Roman" w:hAnsi="Times New Roman"/>
          <w:noProof/>
          <w:szCs w:val="20"/>
        </w:rPr>
        <w:t>).</w:t>
      </w:r>
    </w:p>
  </w:footnote>
  <w:footnote w:id="30">
    <w:p w14:paraId="41313195" w14:textId="77777777" w:rsidR="007249B6" w:rsidRPr="009D3631" w:rsidRDefault="007249B6" w:rsidP="00B37ED6">
      <w:pPr>
        <w:pStyle w:val="FootnoteText"/>
        <w:rPr>
          <w:rFonts w:ascii="Times New Roman" w:hAnsi="Times New Roman"/>
          <w:noProof/>
          <w:szCs w:val="20"/>
          <w:lang w:val="en-US"/>
        </w:rPr>
      </w:pPr>
      <w:r w:rsidRPr="009D3631">
        <w:rPr>
          <w:rStyle w:val="FootnoteReference"/>
          <w:rFonts w:ascii="Times New Roman" w:hAnsi="Times New Roman"/>
          <w:noProof/>
          <w:szCs w:val="20"/>
        </w:rPr>
        <w:footnoteRef/>
      </w:r>
      <w:r w:rsidRPr="009D3631">
        <w:rPr>
          <w:rFonts w:ascii="Times New Roman" w:hAnsi="Times New Roman"/>
          <w:noProof/>
          <w:szCs w:val="20"/>
          <w:lang w:val="en-US"/>
        </w:rPr>
        <w:t xml:space="preserve"> HvJ EU 22 januari 2013, zaak C-283/11 (</w:t>
      </w:r>
      <w:r w:rsidRPr="009D3631">
        <w:rPr>
          <w:rFonts w:ascii="Times New Roman" w:hAnsi="Times New Roman"/>
          <w:i/>
          <w:iCs/>
          <w:noProof/>
          <w:szCs w:val="20"/>
          <w:lang w:val="en-US"/>
        </w:rPr>
        <w:t>Sky Österreich</w:t>
      </w:r>
      <w:r w:rsidRPr="009D3631">
        <w:rPr>
          <w:rFonts w:ascii="Times New Roman" w:hAnsi="Times New Roman"/>
          <w:noProof/>
          <w:szCs w:val="20"/>
          <w:lang w:val="en-US"/>
        </w:rPr>
        <w:t xml:space="preserve">), punt 49 e.v. Zie ook K. Lenaerts, ‘Limits on Limitations: The Essence of Fundamental Rights in the EU’, 20 </w:t>
      </w:r>
      <w:r w:rsidRPr="009D3631">
        <w:rPr>
          <w:rFonts w:ascii="Times New Roman" w:hAnsi="Times New Roman"/>
          <w:i/>
          <w:iCs/>
          <w:noProof/>
          <w:szCs w:val="20"/>
          <w:lang w:val="en-US"/>
        </w:rPr>
        <w:t>German Law Journal</w:t>
      </w:r>
      <w:r w:rsidRPr="009D3631">
        <w:rPr>
          <w:rFonts w:ascii="Times New Roman" w:hAnsi="Times New Roman"/>
          <w:noProof/>
          <w:szCs w:val="20"/>
          <w:lang w:val="en-US"/>
        </w:rPr>
        <w:t xml:space="preserve"> 2019, pp. 779-793.</w:t>
      </w:r>
    </w:p>
  </w:footnote>
  <w:footnote w:id="31">
    <w:p w14:paraId="7C477EE7" w14:textId="0AF9D54F" w:rsidR="008B285A" w:rsidRPr="008B285A" w:rsidRDefault="008B285A">
      <w:pPr>
        <w:pStyle w:val="FootnoteText"/>
        <w:rPr>
          <w:rFonts w:ascii="Times New Roman" w:hAnsi="Times New Roman"/>
          <w:lang w:val="en-US"/>
        </w:rPr>
      </w:pPr>
      <w:r w:rsidRPr="008B285A">
        <w:rPr>
          <w:rStyle w:val="FootnoteReference"/>
          <w:rFonts w:ascii="Times New Roman" w:hAnsi="Times New Roman"/>
        </w:rPr>
        <w:footnoteRef/>
      </w:r>
      <w:r w:rsidRPr="008B285A">
        <w:rPr>
          <w:rFonts w:ascii="Times New Roman" w:hAnsi="Times New Roman"/>
          <w:lang w:val="en-US"/>
        </w:rPr>
        <w:t xml:space="preserve"> </w:t>
      </w:r>
      <w:proofErr w:type="spellStart"/>
      <w:r w:rsidRPr="008B285A">
        <w:rPr>
          <w:rFonts w:ascii="Times New Roman" w:hAnsi="Times New Roman"/>
          <w:lang w:val="en-US"/>
        </w:rPr>
        <w:t>Zie</w:t>
      </w:r>
      <w:proofErr w:type="spellEnd"/>
      <w:r w:rsidRPr="008B285A">
        <w:rPr>
          <w:rFonts w:ascii="Times New Roman" w:hAnsi="Times New Roman"/>
          <w:lang w:val="en-US"/>
        </w:rPr>
        <w:t xml:space="preserve"> </w:t>
      </w:r>
      <w:proofErr w:type="spellStart"/>
      <w:r w:rsidRPr="008B285A">
        <w:rPr>
          <w:rFonts w:ascii="Times New Roman" w:hAnsi="Times New Roman"/>
          <w:lang w:val="en-US"/>
        </w:rPr>
        <w:t>nader</w:t>
      </w:r>
      <w:proofErr w:type="spellEnd"/>
      <w:r w:rsidRPr="008B285A">
        <w:rPr>
          <w:rFonts w:ascii="Times New Roman" w:hAnsi="Times New Roman"/>
          <w:lang w:val="en-US"/>
        </w:rPr>
        <w:t xml:space="preserve">, met </w:t>
      </w:r>
      <w:proofErr w:type="spellStart"/>
      <w:r w:rsidRPr="008B285A">
        <w:rPr>
          <w:rFonts w:ascii="Times New Roman" w:hAnsi="Times New Roman"/>
          <w:lang w:val="en-US"/>
        </w:rPr>
        <w:t>verdere</w:t>
      </w:r>
      <w:proofErr w:type="spellEnd"/>
      <w:r w:rsidRPr="008B285A">
        <w:rPr>
          <w:rFonts w:ascii="Times New Roman" w:hAnsi="Times New Roman"/>
          <w:lang w:val="en-US"/>
        </w:rPr>
        <w:t xml:space="preserve"> </w:t>
      </w:r>
      <w:proofErr w:type="spellStart"/>
      <w:r w:rsidRPr="008B285A">
        <w:rPr>
          <w:rFonts w:ascii="Times New Roman" w:hAnsi="Times New Roman"/>
          <w:lang w:val="en-US"/>
        </w:rPr>
        <w:t>bronverwijzingen</w:t>
      </w:r>
      <w:proofErr w:type="spellEnd"/>
      <w:r w:rsidRPr="008B285A">
        <w:rPr>
          <w:rFonts w:ascii="Times New Roman" w:hAnsi="Times New Roman"/>
          <w:lang w:val="en-US"/>
        </w:rPr>
        <w:t xml:space="preserve">, </w:t>
      </w:r>
      <w:proofErr w:type="spellStart"/>
      <w:r w:rsidRPr="008B285A">
        <w:rPr>
          <w:rFonts w:ascii="Times New Roman" w:hAnsi="Times New Roman"/>
          <w:lang w:val="en-US"/>
        </w:rPr>
        <w:t>o.m</w:t>
      </w:r>
      <w:proofErr w:type="spellEnd"/>
      <w:r w:rsidRPr="008B285A">
        <w:rPr>
          <w:rFonts w:ascii="Times New Roman" w:hAnsi="Times New Roman"/>
          <w:lang w:val="en-US"/>
        </w:rPr>
        <w:t>. J.H. Gerards, ‘Core Rights and the Interaction of Normative and Analytical Elements in Human Rights Scholarship’, via</w:t>
      </w:r>
      <w:r>
        <w:rPr>
          <w:rFonts w:ascii="Times New Roman" w:hAnsi="Times New Roman"/>
          <w:lang w:val="en-US"/>
        </w:rPr>
        <w:t xml:space="preserve"> S</w:t>
      </w:r>
      <w:r w:rsidRPr="008B285A">
        <w:rPr>
          <w:rFonts w:ascii="Times New Roman" w:hAnsi="Times New Roman"/>
          <w:lang w:val="en-US"/>
        </w:rPr>
        <w:t>SRN: </w:t>
      </w:r>
      <w:hyperlink r:id="rId1" w:tgtFrame="_blank" w:history="1">
        <w:r w:rsidRPr="008B285A">
          <w:rPr>
            <w:rStyle w:val="Hyperlink"/>
            <w:rFonts w:ascii="Times New Roman" w:hAnsi="Times New Roman"/>
            <w:lang w:val="en-US"/>
          </w:rPr>
          <w:t>https://ssrn.com/abstract=3333627</w:t>
        </w:r>
      </w:hyperlink>
      <w:r w:rsidRPr="008B285A">
        <w:rPr>
          <w:rFonts w:ascii="Times New Roman" w:hAnsi="Times New Roman"/>
          <w:lang w:val="en-US"/>
        </w:rPr>
        <w:t> of </w:t>
      </w:r>
      <w:hyperlink r:id="rId2" w:tgtFrame="_blank" w:history="1">
        <w:r w:rsidRPr="008B285A">
          <w:rPr>
            <w:rStyle w:val="Hyperlink"/>
            <w:rFonts w:ascii="Times New Roman" w:hAnsi="Times New Roman"/>
            <w:lang w:val="en-US"/>
          </w:rPr>
          <w:t>http://dx.doi.org/10.2139/ssrn.3333627</w:t>
        </w:r>
      </w:hyperlink>
      <w:r w:rsidRPr="008B285A">
        <w:rPr>
          <w:rFonts w:ascii="Times New Roman" w:hAnsi="Times New Roman"/>
          <w:lang w:val="en-US"/>
        </w:rPr>
        <w:t>.</w:t>
      </w:r>
    </w:p>
  </w:footnote>
  <w:footnote w:id="32">
    <w:p w14:paraId="1747F6DA" w14:textId="77777777" w:rsidR="007249B6" w:rsidRPr="009D3631" w:rsidRDefault="007249B6" w:rsidP="00B37ED6">
      <w:pPr>
        <w:pStyle w:val="FootnoteText"/>
        <w:rPr>
          <w:rFonts w:ascii="Times New Roman" w:hAnsi="Times New Roman"/>
          <w:noProof/>
          <w:szCs w:val="20"/>
        </w:rPr>
      </w:pPr>
      <w:r w:rsidRPr="009D3631">
        <w:rPr>
          <w:rStyle w:val="FootnoteReference"/>
          <w:rFonts w:ascii="Times New Roman" w:hAnsi="Times New Roman"/>
          <w:noProof/>
          <w:szCs w:val="20"/>
        </w:rPr>
        <w:footnoteRef/>
      </w:r>
      <w:r w:rsidRPr="009D3631">
        <w:rPr>
          <w:rFonts w:ascii="Times New Roman" w:hAnsi="Times New Roman"/>
          <w:noProof/>
          <w:szCs w:val="20"/>
        </w:rPr>
        <w:t xml:space="preserve"> Vgl. C. Drews, </w:t>
      </w:r>
      <w:r w:rsidRPr="009D3631">
        <w:rPr>
          <w:rFonts w:ascii="Times New Roman" w:hAnsi="Times New Roman"/>
          <w:i/>
          <w:iCs/>
          <w:noProof/>
          <w:szCs w:val="20"/>
        </w:rPr>
        <w:t>Die Wesensgehaltsgarantie des Art. 19 II GG</w:t>
      </w:r>
      <w:r w:rsidRPr="009D3631">
        <w:rPr>
          <w:rFonts w:ascii="Times New Roman" w:hAnsi="Times New Roman"/>
          <w:noProof/>
          <w:szCs w:val="20"/>
        </w:rPr>
        <w:t>, Baden-Baden: Nomos 2005,</w:t>
      </w:r>
      <w:r w:rsidRPr="009D3631">
        <w:rPr>
          <w:rFonts w:ascii="Times New Roman" w:hAnsi="Times New Roman"/>
          <w:i/>
          <w:iCs/>
          <w:noProof/>
          <w:szCs w:val="20"/>
        </w:rPr>
        <w:t xml:space="preserve"> </w:t>
      </w:r>
      <w:r w:rsidRPr="009D3631">
        <w:rPr>
          <w:rFonts w:ascii="Times New Roman" w:hAnsi="Times New Roman"/>
          <w:noProof/>
          <w:szCs w:val="20"/>
        </w:rPr>
        <w:t>p. 66 e.v.</w:t>
      </w:r>
    </w:p>
  </w:footnote>
  <w:footnote w:id="33">
    <w:p w14:paraId="3ED5B4E1" w14:textId="77777777" w:rsidR="007249B6" w:rsidRPr="009D3631" w:rsidRDefault="007249B6" w:rsidP="00B37ED6">
      <w:pPr>
        <w:pStyle w:val="FootnoteText"/>
        <w:rPr>
          <w:rFonts w:ascii="Times New Roman" w:hAnsi="Times New Roman"/>
          <w:noProof/>
          <w:szCs w:val="20"/>
        </w:rPr>
      </w:pPr>
      <w:r w:rsidRPr="009D3631">
        <w:rPr>
          <w:rStyle w:val="FootnoteReference"/>
          <w:rFonts w:ascii="Times New Roman" w:hAnsi="Times New Roman"/>
          <w:noProof/>
          <w:szCs w:val="20"/>
        </w:rPr>
        <w:footnoteRef/>
      </w:r>
      <w:r w:rsidRPr="009D3631">
        <w:rPr>
          <w:rFonts w:ascii="Times New Roman" w:hAnsi="Times New Roman"/>
          <w:noProof/>
          <w:szCs w:val="20"/>
        </w:rPr>
        <w:t xml:space="preserve"> Zie Georg Herbert, ‘Der Wesensgehalt der Grundrechte’, 12 </w:t>
      </w:r>
      <w:r w:rsidRPr="009D3631">
        <w:rPr>
          <w:rFonts w:ascii="Times New Roman" w:hAnsi="Times New Roman"/>
          <w:i/>
          <w:iCs/>
          <w:noProof/>
          <w:szCs w:val="20"/>
        </w:rPr>
        <w:t xml:space="preserve">Europäische Grundrechte-Zeitschrift </w:t>
      </w:r>
      <w:r w:rsidRPr="009D3631">
        <w:rPr>
          <w:rFonts w:ascii="Times New Roman" w:hAnsi="Times New Roman"/>
          <w:noProof/>
          <w:szCs w:val="20"/>
        </w:rPr>
        <w:t>1985, pp.  321-335, 332-333.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29E"/>
    <w:multiLevelType w:val="hybridMultilevel"/>
    <w:tmpl w:val="25C4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4238F"/>
    <w:multiLevelType w:val="multilevel"/>
    <w:tmpl w:val="581470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DE"/>
    <w:rsid w:val="00012DBE"/>
    <w:rsid w:val="000270CC"/>
    <w:rsid w:val="00053EB8"/>
    <w:rsid w:val="0007337F"/>
    <w:rsid w:val="000813B3"/>
    <w:rsid w:val="000A1D81"/>
    <w:rsid w:val="000B5CF0"/>
    <w:rsid w:val="00111ED3"/>
    <w:rsid w:val="001C190E"/>
    <w:rsid w:val="002168F4"/>
    <w:rsid w:val="00231FB8"/>
    <w:rsid w:val="002A727C"/>
    <w:rsid w:val="002A7B5A"/>
    <w:rsid w:val="002C0393"/>
    <w:rsid w:val="002C13C0"/>
    <w:rsid w:val="00377FD9"/>
    <w:rsid w:val="003D67E8"/>
    <w:rsid w:val="004121B8"/>
    <w:rsid w:val="004737C4"/>
    <w:rsid w:val="00516542"/>
    <w:rsid w:val="00553981"/>
    <w:rsid w:val="005A4BFF"/>
    <w:rsid w:val="005D2707"/>
    <w:rsid w:val="005E2D45"/>
    <w:rsid w:val="00606255"/>
    <w:rsid w:val="00615C2A"/>
    <w:rsid w:val="006244C1"/>
    <w:rsid w:val="006B607A"/>
    <w:rsid w:val="006C18FF"/>
    <w:rsid w:val="006E4811"/>
    <w:rsid w:val="007249B6"/>
    <w:rsid w:val="0072523E"/>
    <w:rsid w:val="00763817"/>
    <w:rsid w:val="007808F2"/>
    <w:rsid w:val="00786F67"/>
    <w:rsid w:val="007B03B5"/>
    <w:rsid w:val="007D451C"/>
    <w:rsid w:val="007F16A0"/>
    <w:rsid w:val="0081697E"/>
    <w:rsid w:val="00826224"/>
    <w:rsid w:val="00874AB6"/>
    <w:rsid w:val="008B1814"/>
    <w:rsid w:val="008B285A"/>
    <w:rsid w:val="008E0AA8"/>
    <w:rsid w:val="00920D25"/>
    <w:rsid w:val="00930A23"/>
    <w:rsid w:val="00965795"/>
    <w:rsid w:val="009C7354"/>
    <w:rsid w:val="009D3631"/>
    <w:rsid w:val="009D57FD"/>
    <w:rsid w:val="009E6D7F"/>
    <w:rsid w:val="00A11E73"/>
    <w:rsid w:val="00A2521E"/>
    <w:rsid w:val="00A74208"/>
    <w:rsid w:val="00A74F55"/>
    <w:rsid w:val="00AE436A"/>
    <w:rsid w:val="00B37ED6"/>
    <w:rsid w:val="00B77CC1"/>
    <w:rsid w:val="00B82571"/>
    <w:rsid w:val="00BC60BA"/>
    <w:rsid w:val="00BC75F5"/>
    <w:rsid w:val="00BD0B65"/>
    <w:rsid w:val="00C135B1"/>
    <w:rsid w:val="00C618D1"/>
    <w:rsid w:val="00C62ADF"/>
    <w:rsid w:val="00C92DF8"/>
    <w:rsid w:val="00CB3578"/>
    <w:rsid w:val="00CC7B2B"/>
    <w:rsid w:val="00CD05DF"/>
    <w:rsid w:val="00D0491A"/>
    <w:rsid w:val="00D20AFA"/>
    <w:rsid w:val="00D55648"/>
    <w:rsid w:val="00D674D0"/>
    <w:rsid w:val="00E16443"/>
    <w:rsid w:val="00E36EE9"/>
    <w:rsid w:val="00E455A5"/>
    <w:rsid w:val="00E812F3"/>
    <w:rsid w:val="00E94A28"/>
    <w:rsid w:val="00EC0A03"/>
    <w:rsid w:val="00EC59C8"/>
    <w:rsid w:val="00EE4936"/>
    <w:rsid w:val="00F13442"/>
    <w:rsid w:val="00F16F63"/>
    <w:rsid w:val="00F707DE"/>
    <w:rsid w:val="00F956D4"/>
    <w:rsid w:val="00FD366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50B8"/>
  <w15:docId w15:val="{5A9F228F-B8CE-4771-A86D-A108EE94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6A0"/>
    <w:rPr>
      <w:rFonts w:ascii="Verdana" w:hAnsi="Verdana"/>
      <w:szCs w:val="24"/>
    </w:rPr>
  </w:style>
  <w:style w:type="paragraph" w:styleId="Heading1">
    <w:name w:val="heading 1"/>
    <w:basedOn w:val="Normal"/>
    <w:next w:val="Normal"/>
    <w:qFormat/>
    <w:rsid w:val="007F16A0"/>
    <w:pPr>
      <w:keepNext/>
      <w:spacing w:before="240" w:after="60"/>
      <w:outlineLvl w:val="0"/>
    </w:pPr>
    <w:rPr>
      <w:rFonts w:cs="Arial"/>
      <w:b/>
      <w:bCs/>
      <w:kern w:val="32"/>
      <w:sz w:val="32"/>
      <w:szCs w:val="32"/>
    </w:rPr>
  </w:style>
  <w:style w:type="paragraph" w:styleId="Heading2">
    <w:name w:val="heading 2"/>
    <w:basedOn w:val="Normal"/>
    <w:next w:val="Normal"/>
    <w:qFormat/>
    <w:rsid w:val="007F16A0"/>
    <w:pPr>
      <w:keepNext/>
      <w:spacing w:before="240" w:after="60"/>
      <w:outlineLvl w:val="1"/>
    </w:pPr>
    <w:rPr>
      <w:rFonts w:cs="Arial"/>
      <w:b/>
      <w:bCs/>
      <w:i/>
      <w:iCs/>
      <w:sz w:val="28"/>
      <w:szCs w:val="28"/>
    </w:rPr>
  </w:style>
  <w:style w:type="paragraph" w:styleId="Heading3">
    <w:name w:val="heading 3"/>
    <w:basedOn w:val="Normal"/>
    <w:next w:val="Normal"/>
    <w:qFormat/>
    <w:rsid w:val="007F16A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57FD"/>
    <w:rPr>
      <w:rFonts w:ascii="Tahoma" w:hAnsi="Tahoma" w:cs="Tahoma"/>
      <w:sz w:val="16"/>
      <w:szCs w:val="16"/>
    </w:rPr>
  </w:style>
  <w:style w:type="character" w:customStyle="1" w:styleId="BallontekstTeken">
    <w:name w:val="Ballontekst Teken"/>
    <w:basedOn w:val="DefaultParagraphFont"/>
    <w:uiPriority w:val="99"/>
    <w:semiHidden/>
    <w:rsid w:val="0080442B"/>
    <w:rPr>
      <w:rFonts w:ascii="Lucida Grande" w:hAnsi="Lucida Grande"/>
      <w:sz w:val="18"/>
      <w:szCs w:val="18"/>
    </w:rPr>
  </w:style>
  <w:style w:type="paragraph" w:styleId="EndnoteText">
    <w:name w:val="endnote text"/>
    <w:basedOn w:val="Normal"/>
    <w:rsid w:val="007F16A0"/>
  </w:style>
  <w:style w:type="character" w:styleId="EndnoteReference">
    <w:name w:val="endnote reference"/>
    <w:rsid w:val="007F16A0"/>
    <w:rPr>
      <w:rFonts w:cs="Times New Roman"/>
      <w:sz w:val="20"/>
      <w:szCs w:val="20"/>
      <w:vertAlign w:val="superscript"/>
    </w:rPr>
  </w:style>
  <w:style w:type="paragraph" w:styleId="FootnoteText">
    <w:name w:val="footnote text"/>
    <w:basedOn w:val="Normal"/>
    <w:link w:val="FootnoteTextChar"/>
    <w:uiPriority w:val="99"/>
    <w:rsid w:val="007F16A0"/>
  </w:style>
  <w:style w:type="character" w:customStyle="1" w:styleId="Voetnootverwijzing">
    <w:name w:val="Voetnootverwijzing"/>
    <w:rsid w:val="007F16A0"/>
    <w:rPr>
      <w:sz w:val="20"/>
      <w:vertAlign w:val="superscript"/>
    </w:rPr>
  </w:style>
  <w:style w:type="paragraph" w:customStyle="1" w:styleId="wetsvoorstel">
    <w:name w:val="wetsvoorstel"/>
    <w:rsid w:val="007F16A0"/>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sid w:val="007F16A0"/>
    <w:rPr>
      <w:rFonts w:cs="Times New Roman"/>
      <w:sz w:val="20"/>
      <w:szCs w:val="20"/>
    </w:rPr>
  </w:style>
  <w:style w:type="character" w:customStyle="1" w:styleId="Bibliografie1">
    <w:name w:val="Bibliografie1"/>
    <w:rsid w:val="007F16A0"/>
    <w:rPr>
      <w:rFonts w:cs="Times New Roman"/>
      <w:sz w:val="20"/>
      <w:szCs w:val="20"/>
    </w:rPr>
  </w:style>
  <w:style w:type="character" w:customStyle="1" w:styleId="Dokument5">
    <w:name w:val="Dokument 5"/>
    <w:rsid w:val="007F16A0"/>
    <w:rPr>
      <w:rFonts w:cs="Times New Roman"/>
      <w:sz w:val="20"/>
      <w:szCs w:val="20"/>
    </w:rPr>
  </w:style>
  <w:style w:type="character" w:customStyle="1" w:styleId="Dokument6">
    <w:name w:val="Dokument 6"/>
    <w:rsid w:val="007F16A0"/>
    <w:rPr>
      <w:rFonts w:cs="Times New Roman"/>
      <w:sz w:val="20"/>
      <w:szCs w:val="20"/>
    </w:rPr>
  </w:style>
  <w:style w:type="character" w:customStyle="1" w:styleId="Dokument4">
    <w:name w:val="Dokument 4"/>
    <w:rsid w:val="007F16A0"/>
    <w:rPr>
      <w:rFonts w:cs="Times New Roman"/>
      <w:b/>
      <w:bCs/>
      <w:i/>
      <w:iCs/>
    </w:rPr>
  </w:style>
  <w:style w:type="character" w:customStyle="1" w:styleId="Alineanummer2">
    <w:name w:val="Alineanummer 2"/>
    <w:rsid w:val="007F16A0"/>
    <w:rPr>
      <w:rFonts w:cs="Times New Roman"/>
      <w:sz w:val="20"/>
      <w:szCs w:val="20"/>
    </w:rPr>
  </w:style>
  <w:style w:type="paragraph" w:customStyle="1" w:styleId="Dokument1">
    <w:name w:val="Dokument 1"/>
    <w:rsid w:val="007F16A0"/>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sid w:val="007F16A0"/>
    <w:rPr>
      <w:rFonts w:cs="Times New Roman"/>
      <w:sz w:val="20"/>
      <w:szCs w:val="20"/>
    </w:rPr>
  </w:style>
  <w:style w:type="character" w:customStyle="1" w:styleId="Alineanummer4">
    <w:name w:val="Alineanummer 4"/>
    <w:rsid w:val="007F16A0"/>
    <w:rPr>
      <w:rFonts w:cs="Times New Roman"/>
      <w:sz w:val="20"/>
      <w:szCs w:val="20"/>
    </w:rPr>
  </w:style>
  <w:style w:type="character" w:customStyle="1" w:styleId="Alineanummer5">
    <w:name w:val="Alineanummer 5"/>
    <w:rsid w:val="007F16A0"/>
    <w:rPr>
      <w:rFonts w:cs="Times New Roman"/>
      <w:sz w:val="20"/>
      <w:szCs w:val="20"/>
    </w:rPr>
  </w:style>
  <w:style w:type="character" w:customStyle="1" w:styleId="Alineanummer6">
    <w:name w:val="Alineanummer 6"/>
    <w:rsid w:val="007F16A0"/>
    <w:rPr>
      <w:rFonts w:cs="Times New Roman"/>
      <w:sz w:val="20"/>
      <w:szCs w:val="20"/>
    </w:rPr>
  </w:style>
  <w:style w:type="character" w:customStyle="1" w:styleId="Dokument2">
    <w:name w:val="Dokument 2"/>
    <w:rsid w:val="007F16A0"/>
    <w:rPr>
      <w:rFonts w:ascii="Courier New" w:hAnsi="Courier New" w:cs="Courier New"/>
    </w:rPr>
  </w:style>
  <w:style w:type="character" w:customStyle="1" w:styleId="Alineanummer7">
    <w:name w:val="Alineanummer 7"/>
    <w:rsid w:val="007F16A0"/>
    <w:rPr>
      <w:rFonts w:cs="Times New Roman"/>
      <w:sz w:val="20"/>
      <w:szCs w:val="20"/>
    </w:rPr>
  </w:style>
  <w:style w:type="character" w:customStyle="1" w:styleId="Alineanummer8">
    <w:name w:val="Alineanummer 8"/>
    <w:rsid w:val="007F16A0"/>
    <w:rPr>
      <w:rFonts w:cs="Times New Roman"/>
      <w:sz w:val="20"/>
      <w:szCs w:val="20"/>
    </w:rPr>
  </w:style>
  <w:style w:type="character" w:customStyle="1" w:styleId="Techninit">
    <w:name w:val="Techn init"/>
    <w:rsid w:val="007F16A0"/>
    <w:rPr>
      <w:rFonts w:ascii="Courier New" w:hAnsi="Courier New" w:cs="Courier New"/>
    </w:rPr>
  </w:style>
  <w:style w:type="character" w:customStyle="1" w:styleId="Dokuinit">
    <w:name w:val="Doku init"/>
    <w:rsid w:val="007F16A0"/>
    <w:rPr>
      <w:rFonts w:cs="Times New Roman"/>
      <w:sz w:val="20"/>
      <w:szCs w:val="20"/>
    </w:rPr>
  </w:style>
  <w:style w:type="character" w:customStyle="1" w:styleId="Dokument3">
    <w:name w:val="Dokument 3"/>
    <w:rsid w:val="007F16A0"/>
    <w:rPr>
      <w:rFonts w:ascii="Courier New" w:hAnsi="Courier New" w:cs="Courier New"/>
    </w:rPr>
  </w:style>
  <w:style w:type="character" w:customStyle="1" w:styleId="Dokument7">
    <w:name w:val="Dokument 7"/>
    <w:rsid w:val="007F16A0"/>
    <w:rPr>
      <w:rFonts w:cs="Times New Roman"/>
      <w:sz w:val="20"/>
      <w:szCs w:val="20"/>
    </w:rPr>
  </w:style>
  <w:style w:type="character" w:customStyle="1" w:styleId="Dokument8">
    <w:name w:val="Dokument 8"/>
    <w:rsid w:val="007F16A0"/>
    <w:rPr>
      <w:rFonts w:cs="Times New Roman"/>
      <w:sz w:val="20"/>
      <w:szCs w:val="20"/>
    </w:rPr>
  </w:style>
  <w:style w:type="character" w:customStyle="1" w:styleId="Technisch1">
    <w:name w:val="Technisch 1"/>
    <w:rsid w:val="007F16A0"/>
    <w:rPr>
      <w:rFonts w:ascii="Courier New" w:hAnsi="Courier New" w:cs="Courier New"/>
    </w:rPr>
  </w:style>
  <w:style w:type="character" w:customStyle="1" w:styleId="Technisch2">
    <w:name w:val="Technisch 2"/>
    <w:rsid w:val="007F16A0"/>
    <w:rPr>
      <w:rFonts w:ascii="Courier New" w:hAnsi="Courier New" w:cs="Courier New"/>
    </w:rPr>
  </w:style>
  <w:style w:type="character" w:customStyle="1" w:styleId="Technisch3">
    <w:name w:val="Technisch 3"/>
    <w:rsid w:val="007F16A0"/>
    <w:rPr>
      <w:rFonts w:ascii="Courier New" w:hAnsi="Courier New" w:cs="Courier New"/>
    </w:rPr>
  </w:style>
  <w:style w:type="character" w:customStyle="1" w:styleId="Technisch5">
    <w:name w:val="Technisch 5"/>
    <w:rsid w:val="007F16A0"/>
    <w:rPr>
      <w:rFonts w:cs="Times New Roman"/>
      <w:sz w:val="20"/>
      <w:szCs w:val="20"/>
    </w:rPr>
  </w:style>
  <w:style w:type="character" w:customStyle="1" w:styleId="Technisch6">
    <w:name w:val="Technisch 6"/>
    <w:rsid w:val="007F16A0"/>
    <w:rPr>
      <w:rFonts w:cs="Times New Roman"/>
      <w:sz w:val="20"/>
      <w:szCs w:val="20"/>
    </w:rPr>
  </w:style>
  <w:style w:type="character" w:customStyle="1" w:styleId="Technisch7">
    <w:name w:val="Technisch 7"/>
    <w:rsid w:val="007F16A0"/>
    <w:rPr>
      <w:rFonts w:cs="Times New Roman"/>
      <w:sz w:val="20"/>
      <w:szCs w:val="20"/>
    </w:rPr>
  </w:style>
  <w:style w:type="character" w:customStyle="1" w:styleId="Technisch4">
    <w:name w:val="Technisch 4"/>
    <w:rsid w:val="007F16A0"/>
    <w:rPr>
      <w:rFonts w:cs="Times New Roman"/>
      <w:sz w:val="20"/>
      <w:szCs w:val="20"/>
    </w:rPr>
  </w:style>
  <w:style w:type="character" w:customStyle="1" w:styleId="Technisch8">
    <w:name w:val="Technisch 8"/>
    <w:rsid w:val="007F16A0"/>
    <w:rPr>
      <w:rFonts w:cs="Times New Roman"/>
      <w:sz w:val="20"/>
      <w:szCs w:val="20"/>
    </w:rPr>
  </w:style>
  <w:style w:type="paragraph" w:customStyle="1" w:styleId="Amendement">
    <w:name w:val="Amendement"/>
    <w:rsid w:val="007F16A0"/>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Normal"/>
    <w:rsid w:val="007F16A0"/>
    <w:pPr>
      <w:tabs>
        <w:tab w:val="right" w:leader="dot" w:pos="9360"/>
      </w:tabs>
      <w:suppressAutoHyphens/>
      <w:spacing w:before="480"/>
      <w:ind w:left="720" w:right="720" w:hanging="720"/>
    </w:pPr>
  </w:style>
  <w:style w:type="paragraph" w:customStyle="1" w:styleId="inhopg2">
    <w:name w:val="inhopg 2"/>
    <w:basedOn w:val="Normal"/>
    <w:rsid w:val="007F16A0"/>
    <w:pPr>
      <w:tabs>
        <w:tab w:val="right" w:leader="dot" w:pos="9360"/>
      </w:tabs>
      <w:suppressAutoHyphens/>
      <w:ind w:left="1440" w:right="720" w:hanging="720"/>
    </w:pPr>
  </w:style>
  <w:style w:type="paragraph" w:customStyle="1" w:styleId="inhopg3">
    <w:name w:val="inhopg 3"/>
    <w:basedOn w:val="Normal"/>
    <w:rsid w:val="007F16A0"/>
    <w:pPr>
      <w:tabs>
        <w:tab w:val="right" w:leader="dot" w:pos="9360"/>
      </w:tabs>
      <w:suppressAutoHyphens/>
      <w:ind w:left="2160" w:right="720" w:hanging="720"/>
    </w:pPr>
  </w:style>
  <w:style w:type="paragraph" w:customStyle="1" w:styleId="inhopg4">
    <w:name w:val="inhopg 4"/>
    <w:basedOn w:val="Normal"/>
    <w:rsid w:val="007F16A0"/>
    <w:pPr>
      <w:tabs>
        <w:tab w:val="right" w:leader="dot" w:pos="9360"/>
      </w:tabs>
      <w:suppressAutoHyphens/>
      <w:ind w:left="2880" w:right="720" w:hanging="720"/>
    </w:pPr>
  </w:style>
  <w:style w:type="paragraph" w:customStyle="1" w:styleId="inhopg5">
    <w:name w:val="inhopg 5"/>
    <w:basedOn w:val="Normal"/>
    <w:rsid w:val="007F16A0"/>
    <w:pPr>
      <w:tabs>
        <w:tab w:val="right" w:leader="dot" w:pos="9360"/>
      </w:tabs>
      <w:suppressAutoHyphens/>
      <w:ind w:left="3600" w:right="720" w:hanging="720"/>
    </w:pPr>
  </w:style>
  <w:style w:type="paragraph" w:customStyle="1" w:styleId="inhopg6">
    <w:name w:val="inhopg 6"/>
    <w:basedOn w:val="Normal"/>
    <w:rsid w:val="007F16A0"/>
    <w:pPr>
      <w:tabs>
        <w:tab w:val="right" w:pos="9360"/>
      </w:tabs>
      <w:suppressAutoHyphens/>
      <w:ind w:left="720" w:hanging="720"/>
    </w:pPr>
  </w:style>
  <w:style w:type="paragraph" w:customStyle="1" w:styleId="inhopg7">
    <w:name w:val="inhopg 7"/>
    <w:basedOn w:val="Normal"/>
    <w:rsid w:val="007F16A0"/>
    <w:pPr>
      <w:suppressAutoHyphens/>
      <w:ind w:left="720" w:hanging="720"/>
    </w:pPr>
  </w:style>
  <w:style w:type="paragraph" w:customStyle="1" w:styleId="inhopg8">
    <w:name w:val="inhopg 8"/>
    <w:basedOn w:val="Normal"/>
    <w:rsid w:val="007F16A0"/>
    <w:pPr>
      <w:tabs>
        <w:tab w:val="right" w:pos="9360"/>
      </w:tabs>
      <w:suppressAutoHyphens/>
      <w:ind w:left="720" w:hanging="720"/>
    </w:pPr>
  </w:style>
  <w:style w:type="paragraph" w:customStyle="1" w:styleId="inhopg9">
    <w:name w:val="inhopg 9"/>
    <w:basedOn w:val="Normal"/>
    <w:rsid w:val="007F16A0"/>
    <w:pPr>
      <w:tabs>
        <w:tab w:val="right" w:leader="dot" w:pos="9360"/>
      </w:tabs>
      <w:suppressAutoHyphens/>
      <w:ind w:left="720" w:hanging="720"/>
    </w:pPr>
  </w:style>
  <w:style w:type="paragraph" w:styleId="Index1">
    <w:name w:val="index 1"/>
    <w:basedOn w:val="Normal"/>
    <w:next w:val="Normal"/>
    <w:rsid w:val="007F16A0"/>
    <w:pPr>
      <w:tabs>
        <w:tab w:val="right" w:leader="dot" w:pos="9360"/>
      </w:tabs>
      <w:suppressAutoHyphens/>
      <w:ind w:left="1440" w:right="720" w:hanging="1440"/>
    </w:pPr>
  </w:style>
  <w:style w:type="paragraph" w:styleId="Index2">
    <w:name w:val="index 2"/>
    <w:basedOn w:val="Normal"/>
    <w:next w:val="Normal"/>
    <w:rsid w:val="007F16A0"/>
    <w:pPr>
      <w:tabs>
        <w:tab w:val="right" w:leader="dot" w:pos="9360"/>
      </w:tabs>
      <w:suppressAutoHyphens/>
      <w:ind w:left="1440" w:right="720" w:hanging="720"/>
    </w:pPr>
  </w:style>
  <w:style w:type="paragraph" w:customStyle="1" w:styleId="bronvermelding">
    <w:name w:val="bronvermelding"/>
    <w:basedOn w:val="Normal"/>
    <w:rsid w:val="007F16A0"/>
    <w:pPr>
      <w:tabs>
        <w:tab w:val="right" w:pos="9360"/>
      </w:tabs>
      <w:suppressAutoHyphens/>
    </w:pPr>
  </w:style>
  <w:style w:type="paragraph" w:customStyle="1" w:styleId="bijschrift">
    <w:name w:val="bijschrift"/>
    <w:basedOn w:val="Normal"/>
    <w:rsid w:val="007F16A0"/>
  </w:style>
  <w:style w:type="character" w:customStyle="1" w:styleId="EquationCaption">
    <w:name w:val="_Equation Caption"/>
    <w:rsid w:val="007F16A0"/>
    <w:rPr>
      <w:sz w:val="20"/>
    </w:rPr>
  </w:style>
  <w:style w:type="paragraph" w:styleId="Header">
    <w:name w:val="header"/>
    <w:basedOn w:val="Normal"/>
    <w:rsid w:val="007F16A0"/>
    <w:pPr>
      <w:tabs>
        <w:tab w:val="center" w:pos="4536"/>
        <w:tab w:val="right" w:pos="9072"/>
      </w:tabs>
    </w:pPr>
  </w:style>
  <w:style w:type="paragraph" w:styleId="Footer">
    <w:name w:val="footer"/>
    <w:basedOn w:val="Normal"/>
    <w:rsid w:val="007F16A0"/>
    <w:pPr>
      <w:tabs>
        <w:tab w:val="center" w:pos="4536"/>
        <w:tab w:val="right" w:pos="9072"/>
      </w:tabs>
    </w:pPr>
  </w:style>
  <w:style w:type="paragraph" w:styleId="DocumentMap">
    <w:name w:val="Document Map"/>
    <w:basedOn w:val="Normal"/>
    <w:semiHidden/>
    <w:rsid w:val="007F16A0"/>
    <w:pPr>
      <w:shd w:val="clear" w:color="auto" w:fill="000080"/>
    </w:pPr>
    <w:rPr>
      <w:rFonts w:ascii="Tahoma" w:hAnsi="Tahoma" w:cs="Tahoma"/>
      <w:szCs w:val="20"/>
    </w:rPr>
  </w:style>
  <w:style w:type="paragraph" w:customStyle="1" w:styleId="afbeelding">
    <w:name w:val="afbeelding"/>
    <w:basedOn w:val="Normal"/>
    <w:rsid w:val="007F16A0"/>
    <w:rPr>
      <w:b/>
      <w:color w:val="FF0000"/>
    </w:rPr>
  </w:style>
  <w:style w:type="paragraph" w:customStyle="1" w:styleId="afdeling">
    <w:name w:val="afdeling"/>
    <w:basedOn w:val="Normal"/>
    <w:rsid w:val="007F16A0"/>
    <w:rPr>
      <w:b/>
      <w:sz w:val="24"/>
    </w:rPr>
  </w:style>
  <w:style w:type="paragraph" w:customStyle="1" w:styleId="artikel">
    <w:name w:val="artikel"/>
    <w:basedOn w:val="Normal"/>
    <w:rsid w:val="007F16A0"/>
    <w:pPr>
      <w:outlineLvl w:val="8"/>
    </w:pPr>
    <w:rPr>
      <w:b/>
      <w:sz w:val="22"/>
    </w:rPr>
  </w:style>
  <w:style w:type="paragraph" w:customStyle="1" w:styleId="afkondiging">
    <w:name w:val="afkondiging"/>
    <w:basedOn w:val="Normal"/>
    <w:rsid w:val="007F16A0"/>
  </w:style>
  <w:style w:type="paragraph" w:customStyle="1" w:styleId="boek">
    <w:name w:val="boek"/>
    <w:basedOn w:val="Normal"/>
    <w:rsid w:val="007F16A0"/>
    <w:rPr>
      <w:b/>
      <w:sz w:val="24"/>
    </w:rPr>
  </w:style>
  <w:style w:type="paragraph" w:customStyle="1" w:styleId="deel">
    <w:name w:val="deel"/>
    <w:basedOn w:val="Normal"/>
    <w:rsid w:val="007F16A0"/>
    <w:rPr>
      <w:b/>
      <w:sz w:val="24"/>
    </w:rPr>
  </w:style>
  <w:style w:type="paragraph" w:customStyle="1" w:styleId="hoofdstuk">
    <w:name w:val="hoofdstuk"/>
    <w:basedOn w:val="Normal"/>
    <w:rsid w:val="007F16A0"/>
    <w:rPr>
      <w:b/>
      <w:sz w:val="24"/>
    </w:rPr>
  </w:style>
  <w:style w:type="paragraph" w:customStyle="1" w:styleId="bijlage">
    <w:name w:val="bijlage"/>
    <w:basedOn w:val="Normal"/>
    <w:rsid w:val="007F16A0"/>
    <w:pPr>
      <w:outlineLvl w:val="0"/>
    </w:pPr>
    <w:rPr>
      <w:b/>
      <w:sz w:val="24"/>
    </w:rPr>
  </w:style>
  <w:style w:type="character" w:customStyle="1" w:styleId="inline-afbeelding">
    <w:name w:val="inline-afbeelding"/>
    <w:rsid w:val="007F16A0"/>
    <w:rPr>
      <w:rFonts w:cs="Times New Roman"/>
      <w:b/>
      <w:color w:val="FF0000"/>
    </w:rPr>
  </w:style>
  <w:style w:type="paragraph" w:customStyle="1" w:styleId="intitule">
    <w:name w:val="intitule"/>
    <w:basedOn w:val="Normal"/>
    <w:rsid w:val="007F16A0"/>
    <w:rPr>
      <w:b/>
    </w:rPr>
  </w:style>
  <w:style w:type="paragraph" w:customStyle="1" w:styleId="considerans">
    <w:name w:val="considerans"/>
    <w:basedOn w:val="Normal"/>
    <w:rsid w:val="007F16A0"/>
  </w:style>
  <w:style w:type="paragraph" w:customStyle="1" w:styleId="definitie">
    <w:name w:val="definitie"/>
    <w:basedOn w:val="Normal"/>
    <w:rsid w:val="007F16A0"/>
  </w:style>
  <w:style w:type="paragraph" w:customStyle="1" w:styleId="definitieterm">
    <w:name w:val="definitieterm"/>
    <w:basedOn w:val="Normal"/>
    <w:rsid w:val="007F16A0"/>
  </w:style>
  <w:style w:type="paragraph" w:customStyle="1" w:styleId="lid">
    <w:name w:val="lid"/>
    <w:basedOn w:val="Normal"/>
    <w:rsid w:val="007F16A0"/>
  </w:style>
  <w:style w:type="paragraph" w:customStyle="1" w:styleId="livervolgal">
    <w:name w:val="livervolgal"/>
    <w:basedOn w:val="Normal"/>
    <w:rsid w:val="007F16A0"/>
  </w:style>
  <w:style w:type="paragraph" w:customStyle="1" w:styleId="ondertekening">
    <w:name w:val="ondertekening"/>
    <w:basedOn w:val="Normal"/>
    <w:rsid w:val="007F16A0"/>
    <w:pPr>
      <w:outlineLvl w:val="0"/>
    </w:pPr>
  </w:style>
  <w:style w:type="paragraph" w:customStyle="1" w:styleId="paragraaf">
    <w:name w:val="paragraaf"/>
    <w:basedOn w:val="Normal"/>
    <w:rsid w:val="007F16A0"/>
    <w:rPr>
      <w:b/>
      <w:sz w:val="24"/>
    </w:rPr>
  </w:style>
  <w:style w:type="paragraph" w:customStyle="1" w:styleId="slotformulering">
    <w:name w:val="slotformulering"/>
    <w:basedOn w:val="Normal"/>
    <w:rsid w:val="007F16A0"/>
    <w:pPr>
      <w:outlineLvl w:val="0"/>
    </w:pPr>
  </w:style>
  <w:style w:type="paragraph" w:customStyle="1" w:styleId="titeldeel">
    <w:name w:val="titeldeel"/>
    <w:basedOn w:val="Normal"/>
    <w:rsid w:val="007F16A0"/>
    <w:rPr>
      <w:b/>
      <w:sz w:val="24"/>
    </w:rPr>
  </w:style>
  <w:style w:type="paragraph" w:customStyle="1" w:styleId="artikel-na-wijzig-artikel">
    <w:name w:val="artikel-na-wijzig-artikel"/>
    <w:basedOn w:val="wijzig-artikel"/>
    <w:rsid w:val="007F16A0"/>
  </w:style>
  <w:style w:type="paragraph" w:customStyle="1" w:styleId="tussenkop">
    <w:name w:val="tussenkop"/>
    <w:basedOn w:val="Normal"/>
    <w:rsid w:val="007F16A0"/>
    <w:rPr>
      <w:b/>
      <w:i/>
    </w:rPr>
  </w:style>
  <w:style w:type="paragraph" w:customStyle="1" w:styleId="wat">
    <w:name w:val="wat"/>
    <w:basedOn w:val="Normal"/>
    <w:rsid w:val="007F16A0"/>
    <w:pPr>
      <w:outlineLvl w:val="8"/>
    </w:pPr>
    <w:rPr>
      <w:i/>
    </w:rPr>
  </w:style>
  <w:style w:type="paragraph" w:customStyle="1" w:styleId="wij">
    <w:name w:val="wij"/>
    <w:basedOn w:val="Normal"/>
    <w:rsid w:val="007F16A0"/>
  </w:style>
  <w:style w:type="paragraph" w:customStyle="1" w:styleId="wijzig-lid">
    <w:name w:val="wijzig-lid"/>
    <w:basedOn w:val="Normal"/>
    <w:rsid w:val="007F16A0"/>
    <w:pPr>
      <w:outlineLvl w:val="1"/>
    </w:pPr>
    <w:rPr>
      <w:b/>
      <w:i/>
      <w:sz w:val="24"/>
    </w:rPr>
  </w:style>
  <w:style w:type="paragraph" w:customStyle="1" w:styleId="wijzig-artikel">
    <w:name w:val="wijzig-artikel"/>
    <w:basedOn w:val="Normal"/>
    <w:rsid w:val="007F16A0"/>
    <w:pPr>
      <w:outlineLvl w:val="0"/>
    </w:pPr>
    <w:rPr>
      <w:b/>
      <w:sz w:val="24"/>
    </w:rPr>
  </w:style>
  <w:style w:type="paragraph" w:customStyle="1" w:styleId="artikeltekst">
    <w:name w:val="artikeltekst"/>
    <w:basedOn w:val="Normal"/>
    <w:rsid w:val="007F16A0"/>
  </w:style>
  <w:style w:type="paragraph" w:customStyle="1" w:styleId="gegeven">
    <w:name w:val="gegeven"/>
    <w:basedOn w:val="Normal"/>
    <w:rsid w:val="007F16A0"/>
    <w:pPr>
      <w:outlineLvl w:val="0"/>
    </w:pPr>
  </w:style>
  <w:style w:type="paragraph" w:customStyle="1" w:styleId="divisie">
    <w:name w:val="divisie"/>
    <w:basedOn w:val="Normal"/>
    <w:rsid w:val="007F16A0"/>
    <w:rPr>
      <w:b/>
      <w:sz w:val="22"/>
    </w:rPr>
  </w:style>
  <w:style w:type="paragraph" w:customStyle="1" w:styleId="tempartikeltekst">
    <w:name w:val="temp artikeltekst"/>
    <w:basedOn w:val="artikeltekst"/>
    <w:rsid w:val="007F16A0"/>
    <w:rPr>
      <w:color w:val="000080"/>
    </w:rPr>
  </w:style>
  <w:style w:type="paragraph" w:customStyle="1" w:styleId="tempwat">
    <w:name w:val="temp wat"/>
    <w:basedOn w:val="wat"/>
    <w:rsid w:val="007F16A0"/>
    <w:rPr>
      <w:color w:val="000080"/>
    </w:rPr>
  </w:style>
  <w:style w:type="paragraph" w:customStyle="1" w:styleId="tabelstijl">
    <w:name w:val="tabelstijl"/>
    <w:basedOn w:val="Normal"/>
    <w:rsid w:val="007F16A0"/>
    <w:rPr>
      <w:b/>
    </w:rPr>
  </w:style>
  <w:style w:type="paragraph" w:customStyle="1" w:styleId="stuknr">
    <w:name w:val="stuknr"/>
    <w:basedOn w:val="Normal"/>
    <w:rsid w:val="007F16A0"/>
    <w:rPr>
      <w:b/>
      <w:sz w:val="22"/>
    </w:rPr>
  </w:style>
  <w:style w:type="paragraph" w:customStyle="1" w:styleId="stuktitel">
    <w:name w:val="stuktitel"/>
    <w:basedOn w:val="Normal"/>
    <w:rsid w:val="007F16A0"/>
    <w:rPr>
      <w:b/>
      <w:sz w:val="22"/>
    </w:rPr>
  </w:style>
  <w:style w:type="paragraph" w:customStyle="1" w:styleId="dossiernr">
    <w:name w:val="dossiernr"/>
    <w:basedOn w:val="Normal"/>
    <w:rsid w:val="007F16A0"/>
    <w:rPr>
      <w:b/>
      <w:sz w:val="22"/>
    </w:rPr>
  </w:style>
  <w:style w:type="paragraph" w:customStyle="1" w:styleId="dossiertitel">
    <w:name w:val="dossiertitel"/>
    <w:basedOn w:val="Normal"/>
    <w:rsid w:val="007F16A0"/>
    <w:rPr>
      <w:b/>
      <w:sz w:val="22"/>
    </w:rPr>
  </w:style>
  <w:style w:type="paragraph" w:customStyle="1" w:styleId="documentdatum">
    <w:name w:val="documentdatum"/>
    <w:basedOn w:val="Normal"/>
    <w:rsid w:val="007F16A0"/>
    <w:rPr>
      <w:i/>
      <w:sz w:val="22"/>
    </w:rPr>
  </w:style>
  <w:style w:type="paragraph" w:customStyle="1" w:styleId="vergaderjaar">
    <w:name w:val="vergaderjaar"/>
    <w:basedOn w:val="Normal"/>
    <w:rsid w:val="007F16A0"/>
  </w:style>
  <w:style w:type="character" w:styleId="PageNumber">
    <w:name w:val="page number"/>
    <w:basedOn w:val="DefaultParagraphFont"/>
    <w:rsid w:val="002168F4"/>
  </w:style>
  <w:style w:type="character" w:customStyle="1" w:styleId="BalloonTextChar">
    <w:name w:val="Balloon Text Char"/>
    <w:basedOn w:val="DefaultParagraphFont"/>
    <w:link w:val="BalloonText"/>
    <w:rsid w:val="009D57FD"/>
    <w:rPr>
      <w:rFonts w:ascii="Tahoma" w:hAnsi="Tahoma" w:cs="Tahoma"/>
      <w:sz w:val="16"/>
      <w:szCs w:val="16"/>
    </w:rPr>
  </w:style>
  <w:style w:type="character" w:styleId="CommentReference">
    <w:name w:val="annotation reference"/>
    <w:basedOn w:val="DefaultParagraphFont"/>
    <w:rsid w:val="006E4811"/>
    <w:rPr>
      <w:sz w:val="16"/>
      <w:szCs w:val="16"/>
    </w:rPr>
  </w:style>
  <w:style w:type="paragraph" w:styleId="CommentText">
    <w:name w:val="annotation text"/>
    <w:basedOn w:val="Normal"/>
    <w:link w:val="CommentTextChar"/>
    <w:rsid w:val="006E4811"/>
    <w:rPr>
      <w:szCs w:val="20"/>
    </w:rPr>
  </w:style>
  <w:style w:type="character" w:customStyle="1" w:styleId="CommentTextChar">
    <w:name w:val="Comment Text Char"/>
    <w:basedOn w:val="DefaultParagraphFont"/>
    <w:link w:val="CommentText"/>
    <w:rsid w:val="006E4811"/>
    <w:rPr>
      <w:rFonts w:ascii="Verdana" w:hAnsi="Verdana"/>
    </w:rPr>
  </w:style>
  <w:style w:type="paragraph" w:styleId="CommentSubject">
    <w:name w:val="annotation subject"/>
    <w:basedOn w:val="CommentText"/>
    <w:next w:val="CommentText"/>
    <w:link w:val="CommentSubjectChar"/>
    <w:rsid w:val="006E4811"/>
    <w:rPr>
      <w:b/>
      <w:bCs/>
    </w:rPr>
  </w:style>
  <w:style w:type="character" w:customStyle="1" w:styleId="CommentSubjectChar">
    <w:name w:val="Comment Subject Char"/>
    <w:basedOn w:val="CommentTextChar"/>
    <w:link w:val="CommentSubject"/>
    <w:rsid w:val="006E4811"/>
    <w:rPr>
      <w:rFonts w:ascii="Verdana" w:hAnsi="Verdana"/>
      <w:b/>
      <w:bCs/>
    </w:rPr>
  </w:style>
  <w:style w:type="paragraph" w:styleId="ListParagraph">
    <w:name w:val="List Paragraph"/>
    <w:basedOn w:val="Normal"/>
    <w:uiPriority w:val="34"/>
    <w:qFormat/>
    <w:rsid w:val="00C62ADF"/>
    <w:pPr>
      <w:ind w:left="720"/>
      <w:contextualSpacing/>
    </w:pPr>
  </w:style>
  <w:style w:type="character" w:customStyle="1" w:styleId="FootnoteTextChar">
    <w:name w:val="Footnote Text Char"/>
    <w:basedOn w:val="DefaultParagraphFont"/>
    <w:link w:val="FootnoteText"/>
    <w:uiPriority w:val="99"/>
    <w:rsid w:val="00B37ED6"/>
    <w:rPr>
      <w:rFonts w:ascii="Verdana" w:hAnsi="Verdana"/>
      <w:szCs w:val="24"/>
    </w:rPr>
  </w:style>
  <w:style w:type="character" w:styleId="FootnoteReference">
    <w:name w:val="footnote reference"/>
    <w:uiPriority w:val="99"/>
    <w:semiHidden/>
    <w:unhideWhenUsed/>
    <w:rsid w:val="00B37ED6"/>
    <w:rPr>
      <w:vertAlign w:val="superscript"/>
    </w:rPr>
  </w:style>
  <w:style w:type="paragraph" w:styleId="Revision">
    <w:name w:val="Revision"/>
    <w:hidden/>
    <w:uiPriority w:val="99"/>
    <w:semiHidden/>
    <w:rsid w:val="00BD0B65"/>
    <w:rPr>
      <w:rFonts w:ascii="Verdana" w:hAnsi="Verdana"/>
      <w:szCs w:val="24"/>
    </w:rPr>
  </w:style>
  <w:style w:type="character" w:styleId="Hyperlink">
    <w:name w:val="Hyperlink"/>
    <w:basedOn w:val="DefaultParagraphFont"/>
    <w:unhideWhenUsed/>
    <w:rsid w:val="008B285A"/>
    <w:rPr>
      <w:color w:val="0000FF" w:themeColor="hyperlink"/>
      <w:u w:val="single"/>
    </w:rPr>
  </w:style>
  <w:style w:type="character" w:styleId="UnresolvedMention">
    <w:name w:val="Unresolved Mention"/>
    <w:basedOn w:val="DefaultParagraphFont"/>
    <w:uiPriority w:val="99"/>
    <w:semiHidden/>
    <w:unhideWhenUsed/>
    <w:rsid w:val="008B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x.doi.org/10.2139/ssrn.3333627" TargetMode="External"/><Relationship Id="rId1" Type="http://schemas.openxmlformats.org/officeDocument/2006/relationships/hyperlink" Target="https://ssrn.com/abstract=33336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91BB-A5FD-FF41-AAA5-DE762439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Template>
  <TotalTime>1</TotalTime>
  <Pages>11</Pages>
  <Words>4465</Words>
  <Characters>24561</Characters>
  <Application>Microsoft Office Word</Application>
  <DocSecurity>4</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 W E E D E   K A M E R   D E R   S T A T E N - G E N E R A A L                                                        2</vt:lpstr>
      <vt:lpstr>T W E E D E   K A M E R   D E R   S T A T E N - G E N E R A A L                                                        2</vt:lpstr>
    </vt:vector>
  </TitlesOfParts>
  <Company>TK</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Fieke Kuijk</dc:creator>
  <cp:lastModifiedBy>Schilder, A.E. (AE)</cp:lastModifiedBy>
  <cp:revision>2</cp:revision>
  <cp:lastPrinted>2009-12-07T14:10:00Z</cp:lastPrinted>
  <dcterms:created xsi:type="dcterms:W3CDTF">2022-11-07T11:18:00Z</dcterms:created>
  <dcterms:modified xsi:type="dcterms:W3CDTF">2022-11-07T11:18:00Z</dcterms:modified>
</cp:coreProperties>
</file>